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13D67" w14:textId="77777777" w:rsidR="00F83310" w:rsidRPr="00D20BC2" w:rsidRDefault="00280497" w:rsidP="00437DBA">
      <w:pPr>
        <w:jc w:val="center"/>
        <w:outlineLvl w:val="0"/>
        <w:rPr>
          <w:b/>
        </w:rPr>
      </w:pPr>
      <w:proofErr w:type="spellStart"/>
      <w:r>
        <w:rPr>
          <w:b/>
        </w:rPr>
        <w:t>Cryptocurrency</w:t>
      </w:r>
      <w:proofErr w:type="spellEnd"/>
      <w:r>
        <w:rPr>
          <w:b/>
        </w:rPr>
        <w:t xml:space="preserve"> as Collateral in Financing</w:t>
      </w:r>
    </w:p>
    <w:p w14:paraId="359D7EEC" w14:textId="77777777" w:rsidR="00D20BC2" w:rsidRDefault="00280497" w:rsidP="00F83310"/>
    <w:p w14:paraId="761AE9CA" w14:textId="77777777" w:rsidR="00D20BC2" w:rsidRPr="00D20BC2" w:rsidRDefault="00280497" w:rsidP="00D20BC2">
      <w:pPr>
        <w:jc w:val="center"/>
        <w:rPr>
          <w:i/>
        </w:rPr>
      </w:pPr>
      <w:r w:rsidRPr="00D20BC2">
        <w:rPr>
          <w:i/>
        </w:rPr>
        <w:t>Written by:</w:t>
      </w:r>
    </w:p>
    <w:p w14:paraId="0187E438" w14:textId="77777777" w:rsidR="00D20BC2" w:rsidRPr="00D20BC2" w:rsidRDefault="00280497" w:rsidP="00D20BC2">
      <w:pPr>
        <w:jc w:val="center"/>
        <w:rPr>
          <w:i/>
        </w:rPr>
      </w:pPr>
      <w:r w:rsidRPr="00D20BC2">
        <w:rPr>
          <w:i/>
        </w:rPr>
        <w:t xml:space="preserve">Richard E. </w:t>
      </w:r>
      <w:proofErr w:type="spellStart"/>
      <w:r w:rsidRPr="00D20BC2">
        <w:rPr>
          <w:i/>
        </w:rPr>
        <w:t>Hagerty</w:t>
      </w:r>
      <w:proofErr w:type="spellEnd"/>
    </w:p>
    <w:p w14:paraId="554AF94E" w14:textId="77777777" w:rsidR="00D20BC2" w:rsidRPr="00D20BC2" w:rsidRDefault="00280497" w:rsidP="00D20BC2">
      <w:pPr>
        <w:jc w:val="center"/>
        <w:rPr>
          <w:i/>
        </w:rPr>
      </w:pPr>
      <w:r w:rsidRPr="00D20BC2">
        <w:rPr>
          <w:i/>
        </w:rPr>
        <w:t>Troutman Sanders LLP; Washington, D</w:t>
      </w:r>
      <w:r>
        <w:rPr>
          <w:i/>
        </w:rPr>
        <w:t>.</w:t>
      </w:r>
      <w:r w:rsidRPr="00D20BC2">
        <w:rPr>
          <w:i/>
        </w:rPr>
        <w:t>C</w:t>
      </w:r>
      <w:r>
        <w:rPr>
          <w:i/>
        </w:rPr>
        <w:t>.</w:t>
      </w:r>
    </w:p>
    <w:p w14:paraId="384B11AF" w14:textId="77777777" w:rsidR="00D20BC2" w:rsidRPr="00D20BC2" w:rsidRDefault="00280497" w:rsidP="00D20BC2">
      <w:pPr>
        <w:jc w:val="center"/>
        <w:rPr>
          <w:i/>
        </w:rPr>
      </w:pPr>
      <w:r w:rsidRPr="00D20BC2">
        <w:rPr>
          <w:i/>
        </w:rPr>
        <w:t>troutman.com</w:t>
      </w:r>
    </w:p>
    <w:p w14:paraId="32F23E8B" w14:textId="77777777" w:rsidR="00D20BC2" w:rsidRDefault="00280497" w:rsidP="00F83310"/>
    <w:p w14:paraId="1256176A" w14:textId="77777777" w:rsidR="00C8414E" w:rsidRDefault="00280497" w:rsidP="006F0CCB">
      <w:pPr>
        <w:jc w:val="both"/>
      </w:pPr>
      <w:r>
        <w:tab/>
      </w:r>
      <w:r>
        <w:t>Bitcoin</w:t>
      </w:r>
      <w:r>
        <w:t>’s</w:t>
      </w:r>
      <w:r>
        <w:t xml:space="preserve"> </w:t>
      </w:r>
      <w:r>
        <w:t xml:space="preserve">rise in </w:t>
      </w:r>
      <w:r>
        <w:t>popularity has</w:t>
      </w:r>
      <w:r>
        <w:t xml:space="preserve"> disrupted many areas of </w:t>
      </w:r>
      <w:r>
        <w:t xml:space="preserve">commercial </w:t>
      </w:r>
      <w:r>
        <w:t>law</w:t>
      </w:r>
      <w:r>
        <w:t xml:space="preserve">. </w:t>
      </w:r>
      <w:r>
        <w:t xml:space="preserve">Agencies and industries </w:t>
      </w:r>
      <w:r>
        <w:t xml:space="preserve">have spent the last few years trying to classify </w:t>
      </w:r>
      <w:proofErr w:type="spellStart"/>
      <w:r>
        <w:t>cryptocurrencies</w:t>
      </w:r>
      <w:proofErr w:type="spellEnd"/>
      <w:r>
        <w:t xml:space="preserve"> </w:t>
      </w:r>
      <w:r>
        <w:t xml:space="preserve">using current formalities, which has </w:t>
      </w:r>
      <w:r>
        <w:t xml:space="preserve">proven difficult given </w:t>
      </w:r>
      <w:r>
        <w:t>the</w:t>
      </w:r>
      <w:r>
        <w:t xml:space="preserve"> unique characteristic</w:t>
      </w:r>
      <w:r>
        <w:t xml:space="preserve">s of </w:t>
      </w:r>
      <w:proofErr w:type="spellStart"/>
      <w:r>
        <w:t>cryptocurrencies</w:t>
      </w:r>
      <w:proofErr w:type="spellEnd"/>
      <w:r>
        <w:rPr>
          <w:rStyle w:val="FootnoteReference"/>
        </w:rPr>
        <w:footnoteReference w:id="1"/>
      </w:r>
      <w:r>
        <w:t xml:space="preserve"> and the growing distinction between coins and tokens</w:t>
      </w:r>
      <w:r>
        <w:t>.</w:t>
      </w:r>
      <w:r w:rsidR="00437DBA">
        <w:t xml:space="preserve"> </w:t>
      </w:r>
      <w:r>
        <w:t xml:space="preserve">Classification </w:t>
      </w:r>
      <w:r>
        <w:t>under</w:t>
      </w:r>
      <w:r>
        <w:t xml:space="preserve"> the Un</w:t>
      </w:r>
      <w:r>
        <w:t>iform Commercia</w:t>
      </w:r>
      <w:r>
        <w:t>l Code</w:t>
      </w:r>
      <w:r>
        <w:t xml:space="preserve"> (UCC)</w:t>
      </w:r>
      <w:r>
        <w:t xml:space="preserve"> is no different.</w:t>
      </w:r>
      <w:r w:rsidR="00437DBA">
        <w:t xml:space="preserve"> </w:t>
      </w:r>
      <w:r>
        <w:t>The</w:t>
      </w:r>
      <w:r>
        <w:t xml:space="preserve"> uncertainty </w:t>
      </w:r>
      <w:r>
        <w:t xml:space="preserve">around UCC </w:t>
      </w:r>
      <w:r>
        <w:t>classification</w:t>
      </w:r>
      <w:r>
        <w:t xml:space="preserve"> </w:t>
      </w:r>
      <w:r>
        <w:t xml:space="preserve">is </w:t>
      </w:r>
      <w:r>
        <w:t xml:space="preserve">an issue for secured lenders who </w:t>
      </w:r>
      <w:r>
        <w:t xml:space="preserve">need </w:t>
      </w:r>
      <w:r>
        <w:t xml:space="preserve">to ensure that any security interest in </w:t>
      </w:r>
      <w:proofErr w:type="spellStart"/>
      <w:r>
        <w:t>cryptocurrency</w:t>
      </w:r>
      <w:proofErr w:type="spellEnd"/>
      <w:r>
        <w:t xml:space="preserve"> is</w:t>
      </w:r>
      <w:r>
        <w:t xml:space="preserve"> properly perfected.</w:t>
      </w:r>
      <w:r w:rsidR="00437DBA">
        <w:t xml:space="preserve"> </w:t>
      </w:r>
      <w:r>
        <w:t>Without</w:t>
      </w:r>
      <w:r>
        <w:t xml:space="preserve"> </w:t>
      </w:r>
      <w:r>
        <w:t xml:space="preserve">judicial </w:t>
      </w:r>
      <w:r>
        <w:t>clarification or formal changes</w:t>
      </w:r>
      <w:r>
        <w:t xml:space="preserve"> to the UCC, the appropriate classification of </w:t>
      </w:r>
      <w:proofErr w:type="spellStart"/>
      <w:r>
        <w:t>cryptocurrencies</w:t>
      </w:r>
      <w:proofErr w:type="spellEnd"/>
      <w:r>
        <w:t xml:space="preserve"> under the UCC for perfection purposes is </w:t>
      </w:r>
      <w:r>
        <w:t xml:space="preserve">at best a question of informed </w:t>
      </w:r>
      <w:r>
        <w:t>speculation.</w:t>
      </w:r>
    </w:p>
    <w:p w14:paraId="0BCD0AD6" w14:textId="77777777" w:rsidR="00E7646F" w:rsidRDefault="00280497" w:rsidP="003C540C">
      <w:pPr>
        <w:ind w:firstLine="720"/>
        <w:jc w:val="both"/>
      </w:pPr>
      <w:r>
        <w:t xml:space="preserve">Although </w:t>
      </w:r>
      <w:r>
        <w:t xml:space="preserve">commentators </w:t>
      </w:r>
      <w:r>
        <w:t>argue</w:t>
      </w:r>
      <w:r>
        <w:t xml:space="preserve"> that </w:t>
      </w:r>
      <w:proofErr w:type="spellStart"/>
      <w:r>
        <w:t>crypto</w:t>
      </w:r>
      <w:r>
        <w:t>currencies</w:t>
      </w:r>
      <w:proofErr w:type="spellEnd"/>
      <w:r>
        <w:t xml:space="preserve"> likely fall under the UCC’s catchall category of </w:t>
      </w:r>
      <w:r>
        <w:t>“general intangible</w:t>
      </w:r>
      <w:r>
        <w:t>,</w:t>
      </w:r>
      <w:r>
        <w:t>”</w:t>
      </w:r>
      <w:bookmarkStart w:id="0" w:name="_Ref532458482"/>
      <w:r>
        <w:rPr>
          <w:rStyle w:val="FootnoteReference"/>
        </w:rPr>
        <w:footnoteReference w:id="2"/>
      </w:r>
      <w:bookmarkEnd w:id="0"/>
      <w:r>
        <w:t xml:space="preserve"> </w:t>
      </w:r>
      <w:r>
        <w:t xml:space="preserve">not all </w:t>
      </w:r>
      <w:proofErr w:type="spellStart"/>
      <w:r>
        <w:t>cryptocurrencies</w:t>
      </w:r>
      <w:proofErr w:type="spellEnd"/>
      <w:r>
        <w:t xml:space="preserve"> </w:t>
      </w:r>
      <w:r>
        <w:t>serve the same function</w:t>
      </w:r>
      <w:r>
        <w:t xml:space="preserve">. </w:t>
      </w:r>
      <w:r>
        <w:t xml:space="preserve">The underlying </w:t>
      </w:r>
      <w:r>
        <w:t xml:space="preserve">function and origination of the </w:t>
      </w:r>
      <w:proofErr w:type="spellStart"/>
      <w:r>
        <w:t>cryptocurrency</w:t>
      </w:r>
      <w:proofErr w:type="spellEnd"/>
      <w:r>
        <w:t xml:space="preserve"> </w:t>
      </w:r>
      <w:r>
        <w:t xml:space="preserve">is </w:t>
      </w:r>
      <w:r>
        <w:t>what distinguishes</w:t>
      </w:r>
      <w:r>
        <w:t xml:space="preserve"> coins </w:t>
      </w:r>
      <w:r>
        <w:t>from</w:t>
      </w:r>
      <w:r>
        <w:t xml:space="preserve"> tokens.</w:t>
      </w:r>
      <w:r w:rsidR="00437DBA">
        <w:t xml:space="preserve"> </w:t>
      </w:r>
      <w:r>
        <w:t>But t</w:t>
      </w:r>
      <w:r>
        <w:t xml:space="preserve">here is no bright line, and many </w:t>
      </w:r>
      <w:proofErr w:type="spellStart"/>
      <w:r>
        <w:t>cryptocurrencies</w:t>
      </w:r>
      <w:proofErr w:type="spellEnd"/>
      <w:r>
        <w:t xml:space="preserve"> can incorporate charact</w:t>
      </w:r>
      <w:r>
        <w:t>eristics of both.</w:t>
      </w:r>
      <w:r w:rsidR="00437DBA">
        <w:t xml:space="preserve"> </w:t>
      </w:r>
      <w:r>
        <w:t xml:space="preserve">Coins </w:t>
      </w:r>
      <w:r>
        <w:t>are</w:t>
      </w:r>
      <w:r>
        <w:t xml:space="preserve"> generally</w:t>
      </w:r>
      <w:r>
        <w:t xml:space="preserve"> used</w:t>
      </w:r>
      <w:r>
        <w:t xml:space="preserve"> as a method of exchange, </w:t>
      </w:r>
      <w:r>
        <w:t xml:space="preserve">created from their own native </w:t>
      </w:r>
      <w:proofErr w:type="spellStart"/>
      <w:r>
        <w:t>blockchain</w:t>
      </w:r>
      <w:proofErr w:type="spellEnd"/>
      <w:r>
        <w:t xml:space="preserve"> and </w:t>
      </w:r>
      <w:r>
        <w:t>given</w:t>
      </w:r>
      <w:r>
        <w:t xml:space="preserve"> as a reward or payment for the recipient’s services</w:t>
      </w:r>
      <w:r>
        <w:t>.</w:t>
      </w:r>
      <w:bookmarkStart w:id="1" w:name="_Ref532458457"/>
      <w:r>
        <w:rPr>
          <w:rStyle w:val="FootnoteReference"/>
        </w:rPr>
        <w:footnoteReference w:id="3"/>
      </w:r>
      <w:bookmarkEnd w:id="1"/>
      <w:r w:rsidR="00437DBA">
        <w:t xml:space="preserve"> </w:t>
      </w:r>
      <w:r>
        <w:t xml:space="preserve">Utility tokens, however, </w:t>
      </w:r>
      <w:r>
        <w:t xml:space="preserve">are </w:t>
      </w:r>
      <w:r>
        <w:t xml:space="preserve">created on existing </w:t>
      </w:r>
      <w:proofErr w:type="spellStart"/>
      <w:r>
        <w:t>blockchains</w:t>
      </w:r>
      <w:proofErr w:type="spellEnd"/>
      <w:r>
        <w:t xml:space="preserve"> </w:t>
      </w:r>
      <w:r>
        <w:t xml:space="preserve">and </w:t>
      </w:r>
      <w:r w:rsidR="00437DBA">
        <w:t xml:space="preserve">are </w:t>
      </w:r>
      <w:r>
        <w:t>often distribut</w:t>
      </w:r>
      <w:r>
        <w:t>ed through initial coin offerings (ICOs)</w:t>
      </w:r>
      <w:r>
        <w:t xml:space="preserve"> as a means for raising capital</w:t>
      </w:r>
      <w:r>
        <w:t>.</w:t>
      </w:r>
      <w:r>
        <w:rPr>
          <w:rStyle w:val="FootnoteReference"/>
        </w:rPr>
        <w:footnoteReference w:id="4"/>
      </w:r>
      <w:r w:rsidR="00437DBA">
        <w:t xml:space="preserve"> </w:t>
      </w:r>
      <w:r>
        <w:t>Tokens “</w:t>
      </w:r>
      <w:r>
        <w:t>are designed for, and have, a clear and intended use”</w:t>
      </w:r>
      <w:r>
        <w:t xml:space="preserve"> apart from </w:t>
      </w:r>
      <w:r>
        <w:t>simply serving</w:t>
      </w:r>
      <w:r>
        <w:t xml:space="preserve"> as a unit of value.</w:t>
      </w:r>
      <w:r>
        <w:rPr>
          <w:rStyle w:val="FootnoteReference"/>
        </w:rPr>
        <w:footnoteReference w:id="5"/>
      </w:r>
      <w:r w:rsidR="00437DBA">
        <w:t xml:space="preserve"> </w:t>
      </w:r>
      <w:r>
        <w:t xml:space="preserve">For example, </w:t>
      </w:r>
      <w:r>
        <w:t>a token</w:t>
      </w:r>
      <w:r>
        <w:t xml:space="preserve"> </w:t>
      </w:r>
      <w:r>
        <w:t xml:space="preserve">can </w:t>
      </w:r>
      <w:r>
        <w:t>convey or evidence</w:t>
      </w:r>
      <w:r>
        <w:t xml:space="preserve"> voting </w:t>
      </w:r>
      <w:r>
        <w:t xml:space="preserve">or participation </w:t>
      </w:r>
      <w:r>
        <w:t>r</w:t>
      </w:r>
      <w:r>
        <w:t>ig</w:t>
      </w:r>
      <w:r>
        <w:t xml:space="preserve">hts in </w:t>
      </w:r>
      <w:r>
        <w:t>an</w:t>
      </w:r>
      <w:r>
        <w:t xml:space="preserve"> organization</w:t>
      </w:r>
      <w:r>
        <w:t xml:space="preserve"> or</w:t>
      </w:r>
      <w:r>
        <w:t xml:space="preserve"> grant the owner</w:t>
      </w:r>
      <w:r>
        <w:t xml:space="preserve"> </w:t>
      </w:r>
      <w:r>
        <w:t>access to certain application features</w:t>
      </w:r>
      <w:r>
        <w:t>.</w:t>
      </w:r>
      <w:r>
        <w:rPr>
          <w:rStyle w:val="FootnoteReference"/>
        </w:rPr>
        <w:footnoteReference w:id="6"/>
      </w:r>
    </w:p>
    <w:p w14:paraId="5425789A" w14:textId="77777777" w:rsidR="00AC4531" w:rsidRDefault="00280497" w:rsidP="00E7646F">
      <w:pPr>
        <w:ind w:firstLine="720"/>
        <w:jc w:val="both"/>
      </w:pPr>
      <w:r>
        <w:t xml:space="preserve">Whether </w:t>
      </w:r>
      <w:proofErr w:type="spellStart"/>
      <w:r>
        <w:t>cryptocurrency</w:t>
      </w:r>
      <w:proofErr w:type="spellEnd"/>
      <w:r>
        <w:t xml:space="preserve"> functions </w:t>
      </w:r>
      <w:r>
        <w:t xml:space="preserve">solely </w:t>
      </w:r>
      <w:r>
        <w:t xml:space="preserve">as a </w:t>
      </w:r>
      <w:r>
        <w:t xml:space="preserve">method of exchange </w:t>
      </w:r>
      <w:r>
        <w:t xml:space="preserve">or </w:t>
      </w:r>
      <w:r>
        <w:t>participation in an issuer of property can have a huge impact on its classification under the UCC.</w:t>
      </w:r>
      <w:r w:rsidR="00437DBA">
        <w:t xml:space="preserve"> </w:t>
      </w:r>
      <w:r>
        <w:t xml:space="preserve">Because </w:t>
      </w:r>
      <w:r>
        <w:t xml:space="preserve">Bitcoin rose in popularity as a unit of value, </w:t>
      </w:r>
      <w:r>
        <w:t>the initial instinct is to clas</w:t>
      </w:r>
      <w:r>
        <w:t xml:space="preserve">sify </w:t>
      </w:r>
      <w:proofErr w:type="spellStart"/>
      <w:r>
        <w:t>cryptocurrencies</w:t>
      </w:r>
      <w:proofErr w:type="spellEnd"/>
      <w:r>
        <w:t xml:space="preserve"> as “money,” which is defined in the UCC</w:t>
      </w:r>
      <w:r>
        <w:t xml:space="preserve"> as </w:t>
      </w:r>
      <w:r>
        <w:t>“a medium of exchange currently authorized or adopted by a domestic or foreign government</w:t>
      </w:r>
      <w:r>
        <w:t>.</w:t>
      </w:r>
      <w:r>
        <w:t>”</w:t>
      </w:r>
      <w:r>
        <w:rPr>
          <w:rStyle w:val="FootnoteReference"/>
        </w:rPr>
        <w:footnoteReference w:id="7"/>
      </w:r>
      <w:r>
        <w:t xml:space="preserve"> </w:t>
      </w:r>
      <w:r>
        <w:t>However, b</w:t>
      </w:r>
      <w:r>
        <w:t>ec</w:t>
      </w:r>
      <w:r>
        <w:t xml:space="preserve">ause no government has </w:t>
      </w:r>
      <w:r>
        <w:t xml:space="preserve">authorized or </w:t>
      </w:r>
      <w:r>
        <w:t xml:space="preserve">adopted </w:t>
      </w:r>
      <w:r>
        <w:lastRenderedPageBreak/>
        <w:t xml:space="preserve">any </w:t>
      </w:r>
      <w:proofErr w:type="spellStart"/>
      <w:r>
        <w:t>cryptocurrency</w:t>
      </w:r>
      <w:proofErr w:type="spellEnd"/>
      <w:r>
        <w:t>,</w:t>
      </w:r>
      <w:r>
        <w:t xml:space="preserve"> it </w:t>
      </w:r>
      <w:r>
        <w:t>is</w:t>
      </w:r>
      <w:r>
        <w:t xml:space="preserve"> difficult to argue that it should be treated as “money” for UCC classification purposes.</w:t>
      </w:r>
      <w:r w:rsidR="00437DBA">
        <w:t xml:space="preserve"> </w:t>
      </w:r>
      <w:r>
        <w:t xml:space="preserve">Further, </w:t>
      </w:r>
      <w:proofErr w:type="spellStart"/>
      <w:r>
        <w:t>cryptocurrencies</w:t>
      </w:r>
      <w:proofErr w:type="spellEnd"/>
      <w:r>
        <w:t xml:space="preserve"> are not represented by a physical, tangible object, so perfection by </w:t>
      </w:r>
      <w:r>
        <w:t>possession as required under UCC §</w:t>
      </w:r>
      <w:r w:rsidR="00437DBA">
        <w:t> </w:t>
      </w:r>
      <w:r>
        <w:t>9-312 is not practically possible.</w:t>
      </w:r>
    </w:p>
    <w:p w14:paraId="3C908303" w14:textId="77777777" w:rsidR="003225D6" w:rsidRDefault="00280497" w:rsidP="00E7646F">
      <w:pPr>
        <w:ind w:firstLine="720"/>
        <w:jc w:val="both"/>
      </w:pPr>
      <w:r>
        <w:t xml:space="preserve">Within the confines of Article 9 of the UCC, the most logical </w:t>
      </w:r>
      <w:r>
        <w:t xml:space="preserve">classification </w:t>
      </w:r>
      <w:r>
        <w:t xml:space="preserve">category is the </w:t>
      </w:r>
      <w:r>
        <w:t>catch</w:t>
      </w:r>
      <w:r>
        <w:t>all “general intangibles</w:t>
      </w:r>
      <w:r>
        <w:t xml:space="preserve">,” which </w:t>
      </w:r>
      <w:r>
        <w:t>includes</w:t>
      </w:r>
      <w:r>
        <w:t xml:space="preserve"> any personal property</w:t>
      </w:r>
      <w:r>
        <w:t xml:space="preserve"> </w:t>
      </w:r>
      <w:r>
        <w:t>that does not fall into</w:t>
      </w:r>
      <w:r>
        <w:t xml:space="preserve"> any of the specifically </w:t>
      </w:r>
      <w:r>
        <w:t>en</w:t>
      </w:r>
      <w:r>
        <w:t xml:space="preserve">umerated </w:t>
      </w:r>
      <w:r>
        <w:t>categories.</w:t>
      </w:r>
      <w:r>
        <w:rPr>
          <w:rStyle w:val="FootnoteReference"/>
        </w:rPr>
        <w:footnoteReference w:id="8"/>
      </w:r>
      <w:r w:rsidR="00437DBA">
        <w:t xml:space="preserve"> </w:t>
      </w:r>
      <w:r>
        <w:t xml:space="preserve">Further, classification as a general intangible means that </w:t>
      </w:r>
      <w:r>
        <w:t xml:space="preserve">a </w:t>
      </w:r>
      <w:r>
        <w:t xml:space="preserve">security interest in </w:t>
      </w:r>
      <w:proofErr w:type="spellStart"/>
      <w:r>
        <w:t>cryptocurrency</w:t>
      </w:r>
      <w:proofErr w:type="spellEnd"/>
      <w:r>
        <w:t xml:space="preserve"> </w:t>
      </w:r>
      <w:r>
        <w:t>will cont</w:t>
      </w:r>
      <w:r>
        <w:t>inue even if the</w:t>
      </w:r>
      <w:r>
        <w:t xml:space="preserve"> </w:t>
      </w:r>
      <w:proofErr w:type="spellStart"/>
      <w:r>
        <w:t>cryptocurrency</w:t>
      </w:r>
      <w:proofErr w:type="spellEnd"/>
      <w:r>
        <w:t xml:space="preserve"> is sold, exchanged or otherwise disposed of</w:t>
      </w:r>
      <w:r>
        <w:t xml:space="preserve">, and </w:t>
      </w:r>
      <w:r>
        <w:t>will attach</w:t>
      </w:r>
      <w:r>
        <w:t xml:space="preserve"> to any </w:t>
      </w:r>
      <w:r>
        <w:t xml:space="preserve">identifiable proceeds of the </w:t>
      </w:r>
      <w:proofErr w:type="spellStart"/>
      <w:r>
        <w:t>cryptocurrency</w:t>
      </w:r>
      <w:proofErr w:type="spellEnd"/>
      <w:r>
        <w:t>.</w:t>
      </w:r>
      <w:r>
        <w:rPr>
          <w:rStyle w:val="FootnoteReference"/>
        </w:rPr>
        <w:footnoteReference w:id="9"/>
      </w:r>
      <w:r w:rsidR="00437DBA">
        <w:t xml:space="preserve"> </w:t>
      </w:r>
      <w:r>
        <w:t>This</w:t>
      </w:r>
      <w:r>
        <w:t xml:space="preserve"> classification provides some </w:t>
      </w:r>
      <w:r>
        <w:t>assurance to secured lenders</w:t>
      </w:r>
      <w:r>
        <w:t xml:space="preserve"> because perfection </w:t>
      </w:r>
      <w:r>
        <w:t xml:space="preserve">is easily </w:t>
      </w:r>
      <w:r>
        <w:t xml:space="preserve">obtained </w:t>
      </w:r>
      <w:r>
        <w:t>through</w:t>
      </w:r>
      <w:r>
        <w:t xml:space="preserve"> </w:t>
      </w:r>
      <w:r>
        <w:t>filing a</w:t>
      </w:r>
      <w:r>
        <w:t xml:space="preserve"> financing statement</w:t>
      </w:r>
      <w:r>
        <w:t>,</w:t>
      </w:r>
      <w:r>
        <w:t xml:space="preserve"> and the security interest will</w:t>
      </w:r>
      <w:r>
        <w:t xml:space="preserve"> </w:t>
      </w:r>
      <w:r>
        <w:t>survive</w:t>
      </w:r>
      <w:r>
        <w:t xml:space="preserve"> even if the </w:t>
      </w:r>
      <w:proofErr w:type="spellStart"/>
      <w:r>
        <w:t>cryptocurrency</w:t>
      </w:r>
      <w:proofErr w:type="spellEnd"/>
      <w:r>
        <w:t xml:space="preserve"> is transferred to multiple third</w:t>
      </w:r>
      <w:r w:rsidR="00437DBA">
        <w:t xml:space="preserve"> </w:t>
      </w:r>
      <w:r>
        <w:t>parties.</w:t>
      </w:r>
      <w:r w:rsidR="00437DBA">
        <w:t xml:space="preserve"> </w:t>
      </w:r>
      <w:r>
        <w:t xml:space="preserve">Such classification, however, </w:t>
      </w:r>
      <w:r>
        <w:t>raise</w:t>
      </w:r>
      <w:r>
        <w:t>s</w:t>
      </w:r>
      <w:r>
        <w:t xml:space="preserve"> issues</w:t>
      </w:r>
      <w:r>
        <w:t>.</w:t>
      </w:r>
      <w:r w:rsidR="00437DBA">
        <w:t xml:space="preserve"> </w:t>
      </w:r>
      <w:r>
        <w:t xml:space="preserve">Because the nature of most </w:t>
      </w:r>
      <w:proofErr w:type="spellStart"/>
      <w:r>
        <w:t>cryptocurrencies</w:t>
      </w:r>
      <w:proofErr w:type="spellEnd"/>
      <w:r>
        <w:t xml:space="preserve"> involves anonymity in ownership, </w:t>
      </w:r>
      <w:r>
        <w:t>enforcing</w:t>
      </w:r>
      <w:r>
        <w:t xml:space="preserve"> a security interest </w:t>
      </w:r>
      <w:r>
        <w:t xml:space="preserve">in </w:t>
      </w:r>
      <w:proofErr w:type="spellStart"/>
      <w:r>
        <w:t>cryptocurrency</w:t>
      </w:r>
      <w:proofErr w:type="spellEnd"/>
      <w:r>
        <w:t xml:space="preserve"> that has been </w:t>
      </w:r>
      <w:r>
        <w:t>transferred is practically impossible.</w:t>
      </w:r>
      <w:r>
        <w:rPr>
          <w:rStyle w:val="FootnoteReference"/>
        </w:rPr>
        <w:footnoteReference w:id="10"/>
      </w:r>
      <w:r w:rsidR="00437DBA">
        <w:t xml:space="preserve"> </w:t>
      </w:r>
      <w:r>
        <w:t xml:space="preserve">Commentators have also argued that classifying </w:t>
      </w:r>
      <w:proofErr w:type="spellStart"/>
      <w:r>
        <w:t>cryptocurrencies</w:t>
      </w:r>
      <w:proofErr w:type="spellEnd"/>
      <w:r>
        <w:t xml:space="preserve"> as general intangibles has negative </w:t>
      </w:r>
      <w:r>
        <w:t xml:space="preserve">implications on their utility as a method of payment </w:t>
      </w:r>
      <w:r>
        <w:t>because of limited negotiability.</w:t>
      </w:r>
      <w:r>
        <w:rPr>
          <w:rStyle w:val="FootnoteReference"/>
        </w:rPr>
        <w:footnoteReference w:id="11"/>
      </w:r>
    </w:p>
    <w:p w14:paraId="0EFEE67B" w14:textId="77777777" w:rsidR="00483AD0" w:rsidRDefault="00280497" w:rsidP="00CF1B44">
      <w:pPr>
        <w:ind w:firstLine="720"/>
        <w:jc w:val="both"/>
      </w:pPr>
      <w:r>
        <w:t xml:space="preserve">The growing distinction </w:t>
      </w:r>
      <w:r>
        <w:t xml:space="preserve">between coins and tokens also begs the question </w:t>
      </w:r>
      <w:r w:rsidR="00437DBA">
        <w:t xml:space="preserve">of </w:t>
      </w:r>
      <w:r>
        <w:t xml:space="preserve">whether </w:t>
      </w:r>
      <w:proofErr w:type="spellStart"/>
      <w:r>
        <w:t>cryptocurrencies</w:t>
      </w:r>
      <w:proofErr w:type="spellEnd"/>
      <w:r>
        <w:t xml:space="preserve"> </w:t>
      </w:r>
      <w:r>
        <w:t>can</w:t>
      </w:r>
      <w:r>
        <w:t xml:space="preserve"> fall under </w:t>
      </w:r>
      <w:r>
        <w:t>one</w:t>
      </w:r>
      <w:r>
        <w:t xml:space="preserve"> </w:t>
      </w:r>
      <w:r>
        <w:t>UC</w:t>
      </w:r>
      <w:r>
        <w:t xml:space="preserve">C </w:t>
      </w:r>
      <w:r>
        <w:t>classification or</w:t>
      </w:r>
      <w:r>
        <w:t xml:space="preserve"> </w:t>
      </w:r>
      <w:r>
        <w:t xml:space="preserve">should </w:t>
      </w:r>
      <w:r>
        <w:t>be classified based on their use or purpose</w:t>
      </w:r>
      <w:r>
        <w:t>.</w:t>
      </w:r>
      <w:r w:rsidR="00437DBA">
        <w:t xml:space="preserve"> </w:t>
      </w:r>
      <w:r>
        <w:t>This is particularly relevant for</w:t>
      </w:r>
      <w:r>
        <w:t xml:space="preserve"> tokens</w:t>
      </w:r>
      <w:r>
        <w:t xml:space="preserve"> or </w:t>
      </w:r>
      <w:proofErr w:type="spellStart"/>
      <w:r>
        <w:t>cryptocurrencies</w:t>
      </w:r>
      <w:proofErr w:type="spellEnd"/>
      <w:r>
        <w:t xml:space="preserve"> that are generated through I</w:t>
      </w:r>
      <w:r>
        <w:t xml:space="preserve">COs and represent a participatory interest in a </w:t>
      </w:r>
      <w:r>
        <w:t>business enterprise</w:t>
      </w:r>
      <w:r>
        <w:t>.</w:t>
      </w:r>
      <w:r w:rsidR="00437DBA">
        <w:t xml:space="preserve"> </w:t>
      </w:r>
      <w:r>
        <w:t xml:space="preserve">Article 8 of the UCC contains another classification that may be better suited for these types of </w:t>
      </w:r>
      <w:r>
        <w:t>tokens.</w:t>
      </w:r>
      <w:r w:rsidR="00437DBA">
        <w:t xml:space="preserve"> </w:t>
      </w:r>
      <w:r>
        <w:t xml:space="preserve">Namely, </w:t>
      </w:r>
      <w:r>
        <w:t xml:space="preserve">a </w:t>
      </w:r>
      <w:r>
        <w:t xml:space="preserve">“Security” under UCC </w:t>
      </w:r>
      <w:r w:rsidRPr="00641C4C">
        <w:t>§</w:t>
      </w:r>
      <w:r>
        <w:t xml:space="preserve"> 8-102(15) </w:t>
      </w:r>
      <w:r>
        <w:t>is a “share, participation, or other</w:t>
      </w:r>
      <w:r>
        <w:t xml:space="preserve"> interest in an issuer” that is of a class or series o</w:t>
      </w:r>
      <w:r w:rsidR="00437DBA">
        <w:t>f shares, is certificated or un</w:t>
      </w:r>
      <w:r>
        <w:t xml:space="preserve">certificated, and is either traded on a securities exchange or market or is a “medium for investment” </w:t>
      </w:r>
      <w:r>
        <w:t>that</w:t>
      </w:r>
      <w:r>
        <w:t xml:space="preserve"> expressly states that it is a “security”</w:t>
      </w:r>
      <w:r>
        <w:t xml:space="preserve"> under Article 8.</w:t>
      </w:r>
      <w:r>
        <w:rPr>
          <w:rStyle w:val="FootnoteReference"/>
        </w:rPr>
        <w:footnoteReference w:id="12"/>
      </w:r>
      <w:r w:rsidR="00437DBA">
        <w:t xml:space="preserve"> </w:t>
      </w:r>
      <w:r>
        <w:t>The</w:t>
      </w:r>
      <w:r>
        <w:t xml:space="preserve"> initial problem with defining </w:t>
      </w:r>
      <w:proofErr w:type="spellStart"/>
      <w:r>
        <w:t>cryptocurrencies</w:t>
      </w:r>
      <w:proofErr w:type="spellEnd"/>
      <w:r>
        <w:t xml:space="preserve"> as a security is that traditional coins, such as Bitcoin, do not have an “issuer” </w:t>
      </w:r>
      <w:r>
        <w:t>creating</w:t>
      </w:r>
      <w:r>
        <w:t xml:space="preserve"> the coin</w:t>
      </w:r>
      <w:r>
        <w:t>.</w:t>
      </w:r>
      <w:r>
        <w:rPr>
          <w:rStyle w:val="FootnoteReference"/>
        </w:rPr>
        <w:footnoteReference w:id="13"/>
      </w:r>
      <w:r w:rsidR="00437DBA">
        <w:t xml:space="preserve"> </w:t>
      </w:r>
      <w:r>
        <w:t xml:space="preserve">But with </w:t>
      </w:r>
      <w:r>
        <w:t>tokens</w:t>
      </w:r>
      <w:r>
        <w:t xml:space="preserve">, the company holding the ICO </w:t>
      </w:r>
      <w:r>
        <w:t xml:space="preserve">generally </w:t>
      </w:r>
      <w:r w:rsidRPr="00125763">
        <w:rPr>
          <w:i/>
        </w:rPr>
        <w:t>issue</w:t>
      </w:r>
      <w:r>
        <w:rPr>
          <w:i/>
        </w:rPr>
        <w:t>s</w:t>
      </w:r>
      <w:r>
        <w:t xml:space="preserve"> a token to investor</w:t>
      </w:r>
      <w:r>
        <w:t xml:space="preserve">s as a means of raising </w:t>
      </w:r>
      <w:r>
        <w:t>capital or achieving its corporate goals</w:t>
      </w:r>
      <w:r>
        <w:t>.</w:t>
      </w:r>
    </w:p>
    <w:p w14:paraId="63DCAEBC" w14:textId="77777777" w:rsidR="00641C4C" w:rsidRDefault="00280497" w:rsidP="00CF1B44">
      <w:pPr>
        <w:ind w:firstLine="720"/>
        <w:jc w:val="both"/>
      </w:pPr>
      <w:r>
        <w:t>The next steps required for perfection depend on the token’s characteristics.</w:t>
      </w:r>
      <w:r w:rsidR="00437DBA">
        <w:t xml:space="preserve"> </w:t>
      </w:r>
      <w:r>
        <w:t xml:space="preserve">Section 9-313(a) </w:t>
      </w:r>
      <w:r>
        <w:t>permits</w:t>
      </w:r>
      <w:r>
        <w:t xml:space="preserve"> perfection of “certificated securities” by “taking delivery.”</w:t>
      </w:r>
      <w:r>
        <w:rPr>
          <w:rStyle w:val="FootnoteReference"/>
        </w:rPr>
        <w:footnoteReference w:id="14"/>
      </w:r>
      <w:r w:rsidR="00437DBA">
        <w:t xml:space="preserve"> </w:t>
      </w:r>
      <w:r>
        <w:t>Delivery occurs when a person (either directl</w:t>
      </w:r>
      <w:r>
        <w:t>y or through a third</w:t>
      </w:r>
      <w:r>
        <w:t>-</w:t>
      </w:r>
      <w:r>
        <w:t>party “securities intermediary”</w:t>
      </w:r>
      <w:r>
        <w:rPr>
          <w:rStyle w:val="FootnoteReference"/>
        </w:rPr>
        <w:footnoteReference w:id="15"/>
      </w:r>
      <w:r>
        <w:t>) “acquires possession of the security certificate.”</w:t>
      </w:r>
      <w:r>
        <w:rPr>
          <w:rStyle w:val="FootnoteReference"/>
        </w:rPr>
        <w:footnoteReference w:id="16"/>
      </w:r>
      <w:r w:rsidR="00437DBA">
        <w:t xml:space="preserve"> </w:t>
      </w:r>
      <w:r>
        <w:t>Alternatively, and for uncertificated securities, perfection is obtained through control</w:t>
      </w:r>
      <w:r>
        <w:t>,</w:t>
      </w:r>
      <w:r>
        <w:rPr>
          <w:rStyle w:val="FootnoteReference"/>
        </w:rPr>
        <w:footnoteReference w:id="17"/>
      </w:r>
      <w:r>
        <w:t xml:space="preserve"> a process that depends on whether a securities intermedia</w:t>
      </w:r>
      <w:r>
        <w:t>ry is involved.</w:t>
      </w:r>
      <w:r w:rsidR="00437DBA">
        <w:t xml:space="preserve"> </w:t>
      </w:r>
      <w:r>
        <w:t xml:space="preserve">Because effective “control” over a token may require </w:t>
      </w:r>
      <w:r>
        <w:t xml:space="preserve">access to or possession of the relevant </w:t>
      </w:r>
      <w:r>
        <w:t xml:space="preserve">encryption key </w:t>
      </w:r>
      <w:r>
        <w:lastRenderedPageBreak/>
        <w:t>to access the token, if a token is treated as an uncertificated security</w:t>
      </w:r>
      <w:r w:rsidR="00437DBA">
        <w:t>,</w:t>
      </w:r>
      <w:r>
        <w:t xml:space="preserve"> </w:t>
      </w:r>
      <w:r w:rsidR="00437DBA">
        <w:t xml:space="preserve">then </w:t>
      </w:r>
      <w:r>
        <w:t xml:space="preserve">unique issues are raised to ensure that the secured party </w:t>
      </w:r>
      <w:r>
        <w:t>will have control over the token.</w:t>
      </w:r>
    </w:p>
    <w:p w14:paraId="38864625" w14:textId="2329B20B" w:rsidR="00132ECB" w:rsidRPr="00F83310" w:rsidRDefault="00280497" w:rsidP="0043786C">
      <w:pPr>
        <w:ind w:firstLine="720"/>
        <w:jc w:val="both"/>
      </w:pPr>
      <w:proofErr w:type="spellStart"/>
      <w:r>
        <w:t>C</w:t>
      </w:r>
      <w:r>
        <w:t>ryptocurrency</w:t>
      </w:r>
      <w:proofErr w:type="spellEnd"/>
      <w:r>
        <w:t xml:space="preserve"> technology </w:t>
      </w:r>
      <w:r>
        <w:t>continues its rapid evolution</w:t>
      </w:r>
      <w:r w:rsidR="00437DBA">
        <w:t>,</w:t>
      </w:r>
      <w:r>
        <w:t xml:space="preserve"> and the development and use of coins and tokens </w:t>
      </w:r>
      <w:r>
        <w:t>h</w:t>
      </w:r>
      <w:r>
        <w:t>as followed suit.</w:t>
      </w:r>
      <w:r w:rsidR="00437DBA">
        <w:t xml:space="preserve"> </w:t>
      </w:r>
      <w:r>
        <w:t xml:space="preserve">For lenders seeking to perfect </w:t>
      </w:r>
      <w:r>
        <w:t xml:space="preserve">collateral </w:t>
      </w:r>
      <w:r>
        <w:t xml:space="preserve">interests in </w:t>
      </w:r>
      <w:proofErr w:type="spellStart"/>
      <w:r>
        <w:t>cryptocurr</w:t>
      </w:r>
      <w:r>
        <w:t>ency</w:t>
      </w:r>
      <w:proofErr w:type="spellEnd"/>
      <w:r>
        <w:t xml:space="preserve"> assets, the safest bet is t</w:t>
      </w:r>
      <w:r>
        <w:t xml:space="preserve">o consider those assets </w:t>
      </w:r>
      <w:r>
        <w:t>general intangible</w:t>
      </w:r>
      <w:r>
        <w:t>s</w:t>
      </w:r>
      <w:r>
        <w:t>.</w:t>
      </w:r>
      <w:r w:rsidR="00437DBA">
        <w:t xml:space="preserve"> </w:t>
      </w:r>
      <w:r>
        <w:t xml:space="preserve">However, lenders should be particularly prudent in cases where </w:t>
      </w:r>
      <w:proofErr w:type="spellStart"/>
      <w:r>
        <w:t>cryptocurrency</w:t>
      </w:r>
      <w:proofErr w:type="spellEnd"/>
      <w:r>
        <w:t xml:space="preserve"> assets make up the majority of the </w:t>
      </w:r>
      <w:r>
        <w:t xml:space="preserve">facility’s </w:t>
      </w:r>
      <w:r>
        <w:t xml:space="preserve">collateral, or where the </w:t>
      </w:r>
      <w:proofErr w:type="spellStart"/>
      <w:r>
        <w:t>cryptocurrency</w:t>
      </w:r>
      <w:proofErr w:type="spellEnd"/>
      <w:r>
        <w:t xml:space="preserve"> has characteristics that may fall within th</w:t>
      </w:r>
      <w:r>
        <w:t>e token category.</w:t>
      </w:r>
      <w:r w:rsidR="00437DBA">
        <w:t xml:space="preserve"> </w:t>
      </w:r>
      <w:r>
        <w:t xml:space="preserve">In such cases, determining how to </w:t>
      </w:r>
      <w:r>
        <w:t xml:space="preserve">properly </w:t>
      </w:r>
      <w:r>
        <w:t xml:space="preserve">perfect </w:t>
      </w:r>
      <w:r>
        <w:t>a security</w:t>
      </w:r>
      <w:r>
        <w:t xml:space="preserve"> interest requires further investigation into the tokens themselves and a determination </w:t>
      </w:r>
      <w:r>
        <w:t xml:space="preserve">of </w:t>
      </w:r>
      <w:r>
        <w:t xml:space="preserve">how </w:t>
      </w:r>
      <w:r>
        <w:t xml:space="preserve">to </w:t>
      </w:r>
      <w:r>
        <w:t>gain control</w:t>
      </w:r>
      <w:r>
        <w:t xml:space="preserve"> over them</w:t>
      </w:r>
      <w:r>
        <w:t>.</w:t>
      </w:r>
      <w:bookmarkStart w:id="3" w:name="_GoBack"/>
      <w:bookmarkEnd w:id="3"/>
    </w:p>
    <w:sectPr w:rsidR="00132ECB" w:rsidRPr="00F8331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6C875" w14:textId="77777777" w:rsidR="00280497" w:rsidRDefault="00280497">
      <w:r>
        <w:separator/>
      </w:r>
    </w:p>
  </w:endnote>
  <w:endnote w:type="continuationSeparator" w:id="0">
    <w:p w14:paraId="7FC6F244" w14:textId="77777777" w:rsidR="00280497" w:rsidRDefault="0028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58EE3" w14:textId="77777777" w:rsidR="00DC400F" w:rsidRDefault="00280497" w:rsidP="00C36C2C">
    <w:pPr>
      <w:pStyle w:val="Footer"/>
      <w:spacing w:line="200" w:lineRule="exact"/>
    </w:pPr>
  </w:p>
  <w:p w14:paraId="0AA75450" w14:textId="77777777" w:rsidR="00C36C2C" w:rsidRDefault="00280497" w:rsidP="00FC4247">
    <w:pPr>
      <w:pStyle w:val="Footer"/>
      <w:spacing w:line="200" w:lineRule="exact"/>
    </w:pPr>
  </w:p>
  <w:p w14:paraId="505A3D3B" w14:textId="77777777" w:rsidR="00FC4247" w:rsidRDefault="00280497" w:rsidP="00052357">
    <w:pPr>
      <w:pStyle w:val="Footer"/>
      <w:spacing w:line="200" w:lineRule="exac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0D003" w14:textId="77777777" w:rsidR="00280497" w:rsidRDefault="00280497" w:rsidP="006231F4">
      <w:r>
        <w:separator/>
      </w:r>
    </w:p>
  </w:footnote>
  <w:footnote w:type="continuationSeparator" w:id="0">
    <w:p w14:paraId="7A06B4CE" w14:textId="77777777" w:rsidR="00280497" w:rsidRDefault="00280497" w:rsidP="006231F4">
      <w:r>
        <w:continuationSeparator/>
      </w:r>
    </w:p>
  </w:footnote>
  <w:footnote w:id="1">
    <w:p w14:paraId="254E69D1" w14:textId="77777777" w:rsidR="00123D9F" w:rsidRPr="00DF0FB5" w:rsidRDefault="00280497">
      <w:pPr>
        <w:pStyle w:val="FootnoteText"/>
        <w:rPr>
          <w:sz w:val="18"/>
          <w:szCs w:val="18"/>
        </w:rPr>
      </w:pPr>
      <w:r w:rsidRPr="00DF0FB5">
        <w:rPr>
          <w:rStyle w:val="FootnoteReference"/>
          <w:sz w:val="18"/>
          <w:szCs w:val="18"/>
        </w:rPr>
        <w:footnoteRef/>
      </w:r>
      <w:r w:rsidRPr="00DF0FB5">
        <w:rPr>
          <w:sz w:val="18"/>
          <w:szCs w:val="18"/>
        </w:rPr>
        <w:t xml:space="preserve"> The term </w:t>
      </w:r>
      <w:r w:rsidR="00437DBA">
        <w:rPr>
          <w:sz w:val="18"/>
          <w:szCs w:val="18"/>
        </w:rPr>
        <w:t>“</w:t>
      </w:r>
      <w:proofErr w:type="spellStart"/>
      <w:r w:rsidRPr="00DF0FB5">
        <w:rPr>
          <w:sz w:val="18"/>
          <w:szCs w:val="18"/>
        </w:rPr>
        <w:t>cryptocurrency</w:t>
      </w:r>
      <w:proofErr w:type="spellEnd"/>
      <w:r w:rsidR="00437DBA">
        <w:rPr>
          <w:sz w:val="18"/>
          <w:szCs w:val="18"/>
        </w:rPr>
        <w:t>”</w:t>
      </w:r>
      <w:r w:rsidRPr="00DF0FB5">
        <w:rPr>
          <w:sz w:val="18"/>
          <w:szCs w:val="18"/>
        </w:rPr>
        <w:t xml:space="preserve"> is used through this article to</w:t>
      </w:r>
      <w:r w:rsidRPr="00DF0FB5">
        <w:rPr>
          <w:sz w:val="18"/>
          <w:szCs w:val="18"/>
        </w:rPr>
        <w:t xml:space="preserve"> refer to</w:t>
      </w:r>
      <w:r w:rsidRPr="00DF0FB5">
        <w:rPr>
          <w:sz w:val="18"/>
          <w:szCs w:val="18"/>
        </w:rPr>
        <w:t xml:space="preserve"> all currencies</w:t>
      </w:r>
      <w:r w:rsidRPr="00DF0FB5">
        <w:rPr>
          <w:sz w:val="18"/>
          <w:szCs w:val="18"/>
        </w:rPr>
        <w:t xml:space="preserve"> deriving from</w:t>
      </w:r>
      <w:r w:rsidRPr="00DF0FB5">
        <w:rPr>
          <w:sz w:val="18"/>
          <w:szCs w:val="18"/>
        </w:rPr>
        <w:t xml:space="preserve"> a </w:t>
      </w:r>
      <w:proofErr w:type="spellStart"/>
      <w:r w:rsidRPr="00DF0FB5">
        <w:rPr>
          <w:sz w:val="18"/>
          <w:szCs w:val="18"/>
        </w:rPr>
        <w:t>blockchain</w:t>
      </w:r>
      <w:proofErr w:type="spellEnd"/>
      <w:r w:rsidRPr="00DF0FB5">
        <w:rPr>
          <w:sz w:val="18"/>
          <w:szCs w:val="18"/>
        </w:rPr>
        <w:t xml:space="preserve"> protocol, w</w:t>
      </w:r>
      <w:r w:rsidR="00437DBA">
        <w:rPr>
          <w:sz w:val="18"/>
          <w:szCs w:val="18"/>
        </w:rPr>
        <w:t>hether considered a token, coin or otherwise.</w:t>
      </w:r>
    </w:p>
  </w:footnote>
  <w:footnote w:id="2">
    <w:p w14:paraId="4C3E502A" w14:textId="77777777" w:rsidR="00DB6C62" w:rsidRPr="00DF0FB5" w:rsidRDefault="00280497" w:rsidP="00DB6C62">
      <w:pPr>
        <w:pStyle w:val="FootnoteText"/>
        <w:jc w:val="both"/>
        <w:rPr>
          <w:sz w:val="18"/>
          <w:szCs w:val="18"/>
        </w:rPr>
      </w:pPr>
      <w:r w:rsidRPr="00DF0FB5">
        <w:rPr>
          <w:rStyle w:val="FootnoteReference"/>
          <w:sz w:val="18"/>
          <w:szCs w:val="18"/>
        </w:rPr>
        <w:footnoteRef/>
      </w:r>
      <w:r w:rsidRPr="00DF0FB5">
        <w:rPr>
          <w:sz w:val="18"/>
          <w:szCs w:val="18"/>
        </w:rPr>
        <w:t xml:space="preserve"> </w:t>
      </w:r>
      <w:r w:rsidRPr="00DF0FB5">
        <w:rPr>
          <w:i/>
          <w:sz w:val="18"/>
          <w:szCs w:val="18"/>
        </w:rPr>
        <w:t>See</w:t>
      </w:r>
      <w:r w:rsidRPr="00DF0FB5">
        <w:rPr>
          <w:sz w:val="18"/>
          <w:szCs w:val="18"/>
        </w:rPr>
        <w:t xml:space="preserve"> </w:t>
      </w:r>
      <w:r w:rsidRPr="00DF0FB5">
        <w:rPr>
          <w:sz w:val="18"/>
          <w:szCs w:val="18"/>
        </w:rPr>
        <w:t xml:space="preserve">George K </w:t>
      </w:r>
      <w:proofErr w:type="spellStart"/>
      <w:r w:rsidRPr="00DF0FB5">
        <w:rPr>
          <w:sz w:val="18"/>
          <w:szCs w:val="18"/>
        </w:rPr>
        <w:t>Fogg</w:t>
      </w:r>
      <w:proofErr w:type="spellEnd"/>
      <w:r w:rsidRPr="00DF0FB5">
        <w:rPr>
          <w:sz w:val="18"/>
          <w:szCs w:val="18"/>
        </w:rPr>
        <w:t>,</w:t>
      </w:r>
      <w:r w:rsidRPr="00DF0FB5">
        <w:rPr>
          <w:i/>
          <w:sz w:val="18"/>
          <w:szCs w:val="18"/>
        </w:rPr>
        <w:t xml:space="preserve"> </w:t>
      </w:r>
      <w:r w:rsidR="00437DBA" w:rsidRPr="00437DBA">
        <w:rPr>
          <w:sz w:val="18"/>
          <w:szCs w:val="18"/>
        </w:rPr>
        <w:t>“</w:t>
      </w:r>
      <w:r w:rsidRPr="00437DBA">
        <w:rPr>
          <w:sz w:val="18"/>
          <w:szCs w:val="18"/>
        </w:rPr>
        <w:t>The UCC and Bitcoins – Solution to Existing Fatal Flaw</w:t>
      </w:r>
      <w:r w:rsidRPr="00437DBA">
        <w:rPr>
          <w:sz w:val="18"/>
          <w:szCs w:val="18"/>
        </w:rPr>
        <w:t>,</w:t>
      </w:r>
      <w:r w:rsidR="00437DBA">
        <w:rPr>
          <w:sz w:val="18"/>
          <w:szCs w:val="18"/>
        </w:rPr>
        <w:t>”</w:t>
      </w:r>
      <w:r w:rsidRPr="00437DBA">
        <w:rPr>
          <w:sz w:val="18"/>
          <w:szCs w:val="18"/>
        </w:rPr>
        <w:t xml:space="preserve"> </w:t>
      </w:r>
      <w:r w:rsidRPr="00437DBA">
        <w:rPr>
          <w:i/>
          <w:sz w:val="18"/>
          <w:szCs w:val="18"/>
        </w:rPr>
        <w:t>Bloomberg</w:t>
      </w:r>
      <w:r w:rsidRPr="00437DBA">
        <w:rPr>
          <w:i/>
          <w:sz w:val="18"/>
          <w:szCs w:val="18"/>
        </w:rPr>
        <w:t xml:space="preserve"> </w:t>
      </w:r>
      <w:r w:rsidRPr="00437DBA">
        <w:rPr>
          <w:i/>
          <w:sz w:val="18"/>
          <w:szCs w:val="18"/>
        </w:rPr>
        <w:t>BNA</w:t>
      </w:r>
      <w:r w:rsidRPr="00DF0FB5">
        <w:rPr>
          <w:sz w:val="18"/>
          <w:szCs w:val="18"/>
        </w:rPr>
        <w:t xml:space="preserve"> (April 14, 2015)</w:t>
      </w:r>
      <w:r w:rsidRPr="00DF0FB5">
        <w:rPr>
          <w:sz w:val="18"/>
          <w:szCs w:val="18"/>
        </w:rPr>
        <w:t>,</w:t>
      </w:r>
      <w:r w:rsidRPr="00DF0FB5">
        <w:rPr>
          <w:sz w:val="18"/>
          <w:szCs w:val="18"/>
        </w:rPr>
        <w:t xml:space="preserve"> </w:t>
      </w:r>
      <w:r w:rsidR="00437DBA" w:rsidRPr="00437DBA">
        <w:rPr>
          <w:i/>
          <w:sz w:val="18"/>
          <w:szCs w:val="18"/>
        </w:rPr>
        <w:t>available at</w:t>
      </w:r>
      <w:r w:rsidR="00437DBA">
        <w:rPr>
          <w:sz w:val="18"/>
          <w:szCs w:val="18"/>
        </w:rPr>
        <w:t xml:space="preserve"> </w:t>
      </w:r>
      <w:r w:rsidRPr="00DF0FB5">
        <w:rPr>
          <w:sz w:val="18"/>
          <w:szCs w:val="18"/>
        </w:rPr>
        <w:t>www.perkinscoie.com/en/news-insights/the-ucc-and-bitcoins-solution-to-existing-fatal-flaw.html</w:t>
      </w:r>
      <w:r w:rsidRPr="00DF0FB5">
        <w:rPr>
          <w:sz w:val="18"/>
          <w:szCs w:val="18"/>
        </w:rPr>
        <w:t>.</w:t>
      </w:r>
      <w:r w:rsidRPr="00DF0FB5">
        <w:rPr>
          <w:sz w:val="18"/>
          <w:szCs w:val="18"/>
        </w:rPr>
        <w:t xml:space="preserve"> </w:t>
      </w:r>
      <w:r w:rsidRPr="00DF0FB5">
        <w:rPr>
          <w:sz w:val="18"/>
          <w:szCs w:val="18"/>
        </w:rPr>
        <w:t>S</w:t>
      </w:r>
      <w:r w:rsidRPr="00DF0FB5">
        <w:rPr>
          <w:i/>
          <w:sz w:val="18"/>
          <w:szCs w:val="18"/>
        </w:rPr>
        <w:t xml:space="preserve">ee also </w:t>
      </w:r>
      <w:r>
        <w:rPr>
          <w:sz w:val="18"/>
          <w:szCs w:val="18"/>
        </w:rPr>
        <w:t xml:space="preserve">Jean L. </w:t>
      </w:r>
      <w:r w:rsidRPr="00DF0FB5">
        <w:rPr>
          <w:sz w:val="18"/>
          <w:szCs w:val="18"/>
        </w:rPr>
        <w:t>Schroder</w:t>
      </w:r>
      <w:r w:rsidRPr="00DF0FB5">
        <w:rPr>
          <w:sz w:val="18"/>
          <w:szCs w:val="18"/>
        </w:rPr>
        <w:t xml:space="preserve">, </w:t>
      </w:r>
      <w:r w:rsidR="00437DBA">
        <w:rPr>
          <w:sz w:val="18"/>
          <w:szCs w:val="18"/>
        </w:rPr>
        <w:t>“</w:t>
      </w:r>
      <w:r w:rsidRPr="00437DBA">
        <w:rPr>
          <w:sz w:val="18"/>
          <w:szCs w:val="18"/>
        </w:rPr>
        <w:t>Bitcoin</w:t>
      </w:r>
      <w:r w:rsidRPr="00437DBA">
        <w:rPr>
          <w:sz w:val="18"/>
          <w:szCs w:val="18"/>
        </w:rPr>
        <w:t xml:space="preserve"> and the Uniform Commercial Code</w:t>
      </w:r>
      <w:r w:rsidRPr="00437DBA">
        <w:rPr>
          <w:sz w:val="18"/>
          <w:szCs w:val="18"/>
        </w:rPr>
        <w:t>,</w:t>
      </w:r>
      <w:r w:rsidR="00437DBA">
        <w:rPr>
          <w:sz w:val="18"/>
          <w:szCs w:val="18"/>
        </w:rPr>
        <w:t>”</w:t>
      </w:r>
      <w:r w:rsidRPr="00DF0FB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24 </w:t>
      </w:r>
      <w:r w:rsidRPr="00437DBA">
        <w:rPr>
          <w:i/>
          <w:sz w:val="18"/>
          <w:szCs w:val="18"/>
        </w:rPr>
        <w:t>U. Miami Bus. L. Rev.</w:t>
      </w:r>
      <w:r>
        <w:rPr>
          <w:sz w:val="18"/>
          <w:szCs w:val="18"/>
        </w:rPr>
        <w:t xml:space="preserve"> 1,</w:t>
      </w:r>
      <w:r w:rsidRPr="00DF0FB5">
        <w:rPr>
          <w:sz w:val="18"/>
          <w:szCs w:val="18"/>
        </w:rPr>
        <w:t xml:space="preserve"> 10</w:t>
      </w:r>
      <w:r>
        <w:rPr>
          <w:sz w:val="18"/>
          <w:szCs w:val="18"/>
        </w:rPr>
        <w:t xml:space="preserve"> (2016), </w:t>
      </w:r>
      <w:r w:rsidR="00437DBA" w:rsidRPr="00437DBA">
        <w:rPr>
          <w:i/>
          <w:sz w:val="18"/>
          <w:szCs w:val="18"/>
        </w:rPr>
        <w:t>available at</w:t>
      </w:r>
      <w:r w:rsidR="00437DBA">
        <w:rPr>
          <w:sz w:val="18"/>
          <w:szCs w:val="18"/>
        </w:rPr>
        <w:t xml:space="preserve"> </w:t>
      </w:r>
      <w:r>
        <w:rPr>
          <w:sz w:val="18"/>
          <w:szCs w:val="18"/>
        </w:rPr>
        <w:t>repository.law.miami.edu/</w:t>
      </w:r>
      <w:proofErr w:type="spellStart"/>
      <w:r>
        <w:rPr>
          <w:sz w:val="18"/>
          <w:szCs w:val="18"/>
        </w:rPr>
        <w:t>umblr</w:t>
      </w:r>
      <w:proofErr w:type="spellEnd"/>
      <w:r>
        <w:rPr>
          <w:sz w:val="18"/>
          <w:szCs w:val="18"/>
        </w:rPr>
        <w:t>/vol24/iss3/</w:t>
      </w:r>
      <w:r w:rsidRPr="00DF0FB5">
        <w:rPr>
          <w:sz w:val="18"/>
          <w:szCs w:val="18"/>
        </w:rPr>
        <w:t xml:space="preserve"> (citing </w:t>
      </w:r>
      <w:proofErr w:type="spellStart"/>
      <w:r w:rsidRPr="00DF0FB5">
        <w:rPr>
          <w:sz w:val="18"/>
          <w:szCs w:val="18"/>
        </w:rPr>
        <w:t>Fogg</w:t>
      </w:r>
      <w:proofErr w:type="spellEnd"/>
      <w:r w:rsidRPr="00DF0FB5">
        <w:rPr>
          <w:sz w:val="18"/>
          <w:szCs w:val="18"/>
        </w:rPr>
        <w:t xml:space="preserve">, </w:t>
      </w:r>
      <w:r>
        <w:rPr>
          <w:i/>
          <w:sz w:val="18"/>
          <w:szCs w:val="18"/>
        </w:rPr>
        <w:t>supra</w:t>
      </w:r>
      <w:r>
        <w:rPr>
          <w:sz w:val="18"/>
          <w:szCs w:val="18"/>
        </w:rPr>
        <w:t xml:space="preserve"> note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NOTEREF _Ref532458482 \h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t>2</w:t>
      </w:r>
      <w:r>
        <w:rPr>
          <w:sz w:val="18"/>
          <w:szCs w:val="18"/>
        </w:rPr>
        <w:fldChar w:fldCharType="end"/>
      </w:r>
      <w:r w:rsidRPr="00DF0FB5">
        <w:rPr>
          <w:sz w:val="18"/>
          <w:szCs w:val="18"/>
        </w:rPr>
        <w:t>)</w:t>
      </w:r>
      <w:r w:rsidRPr="00DF0FB5">
        <w:rPr>
          <w:sz w:val="18"/>
          <w:szCs w:val="18"/>
        </w:rPr>
        <w:t>; Bob Lawless</w:t>
      </w:r>
      <w:r w:rsidRPr="00DF0FB5">
        <w:rPr>
          <w:sz w:val="18"/>
          <w:szCs w:val="18"/>
        </w:rPr>
        <w:t xml:space="preserve">, </w:t>
      </w:r>
      <w:r w:rsidR="00437DBA">
        <w:rPr>
          <w:sz w:val="18"/>
          <w:szCs w:val="18"/>
        </w:rPr>
        <w:t>“</w:t>
      </w:r>
      <w:r w:rsidRPr="00437DBA">
        <w:rPr>
          <w:sz w:val="18"/>
          <w:szCs w:val="18"/>
        </w:rPr>
        <w:t>Is UCC Article 9 the Achilles Heel of Bitcoin?</w:t>
      </w:r>
      <w:r w:rsidRPr="00DF0FB5">
        <w:rPr>
          <w:sz w:val="18"/>
          <w:szCs w:val="18"/>
        </w:rPr>
        <w:t>,</w:t>
      </w:r>
      <w:r w:rsidR="00437DBA">
        <w:rPr>
          <w:sz w:val="18"/>
          <w:szCs w:val="18"/>
        </w:rPr>
        <w:t>”</w:t>
      </w:r>
      <w:r w:rsidRPr="00DF0FB5">
        <w:rPr>
          <w:sz w:val="18"/>
          <w:szCs w:val="18"/>
        </w:rPr>
        <w:t xml:space="preserve"> </w:t>
      </w:r>
      <w:r w:rsidRPr="00437DBA">
        <w:rPr>
          <w:sz w:val="18"/>
          <w:szCs w:val="18"/>
        </w:rPr>
        <w:t>Credit Slips</w:t>
      </w:r>
      <w:r w:rsidRPr="00DF0FB5">
        <w:rPr>
          <w:sz w:val="18"/>
          <w:szCs w:val="18"/>
        </w:rPr>
        <w:t xml:space="preserve"> </w:t>
      </w:r>
      <w:r w:rsidRPr="00DF0FB5">
        <w:rPr>
          <w:sz w:val="18"/>
          <w:szCs w:val="18"/>
        </w:rPr>
        <w:t xml:space="preserve">(Mar. 10, 2014), </w:t>
      </w:r>
      <w:r w:rsidR="00437DBA" w:rsidRPr="00437DBA">
        <w:rPr>
          <w:i/>
          <w:sz w:val="18"/>
          <w:szCs w:val="18"/>
        </w:rPr>
        <w:t>available at</w:t>
      </w:r>
      <w:r w:rsidR="00437DBA">
        <w:rPr>
          <w:sz w:val="18"/>
          <w:szCs w:val="18"/>
        </w:rPr>
        <w:t xml:space="preserve"> </w:t>
      </w:r>
      <w:r w:rsidRPr="00DF0FB5">
        <w:rPr>
          <w:sz w:val="18"/>
          <w:szCs w:val="18"/>
        </w:rPr>
        <w:t>www.creditslips.org/creditslips/2014/03/isucc-article-9-the-achilles-heel-of-bitcoin.html#more.</w:t>
      </w:r>
    </w:p>
  </w:footnote>
  <w:footnote w:id="3">
    <w:p w14:paraId="0D9641EA" w14:textId="77777777" w:rsidR="00BC00E2" w:rsidRPr="00DF0FB5" w:rsidRDefault="00280497">
      <w:pPr>
        <w:pStyle w:val="FootnoteText"/>
        <w:rPr>
          <w:sz w:val="18"/>
          <w:szCs w:val="18"/>
        </w:rPr>
      </w:pPr>
      <w:r w:rsidRPr="00DF0FB5">
        <w:rPr>
          <w:rStyle w:val="FootnoteReference"/>
          <w:sz w:val="18"/>
          <w:szCs w:val="18"/>
        </w:rPr>
        <w:footnoteRef/>
      </w:r>
      <w:r w:rsidRPr="00DF0FB5">
        <w:rPr>
          <w:sz w:val="18"/>
          <w:szCs w:val="18"/>
        </w:rPr>
        <w:t xml:space="preserve"> </w:t>
      </w:r>
      <w:r w:rsidRPr="00DF0FB5">
        <w:rPr>
          <w:i/>
          <w:sz w:val="18"/>
          <w:szCs w:val="18"/>
        </w:rPr>
        <w:t>See generally</w:t>
      </w:r>
      <w:r w:rsidRPr="00DF0FB5">
        <w:rPr>
          <w:sz w:val="18"/>
          <w:szCs w:val="18"/>
        </w:rPr>
        <w:t xml:space="preserve"> </w:t>
      </w:r>
      <w:r w:rsidRPr="00DF0FB5">
        <w:rPr>
          <w:sz w:val="18"/>
          <w:szCs w:val="18"/>
        </w:rPr>
        <w:t xml:space="preserve">Ray King, </w:t>
      </w:r>
      <w:r w:rsidR="00437DBA">
        <w:rPr>
          <w:sz w:val="18"/>
          <w:szCs w:val="18"/>
        </w:rPr>
        <w:t>“</w:t>
      </w:r>
      <w:r w:rsidRPr="00437DBA">
        <w:rPr>
          <w:sz w:val="18"/>
          <w:szCs w:val="18"/>
        </w:rPr>
        <w:t>Token vs</w:t>
      </w:r>
      <w:r w:rsidR="00437DBA">
        <w:rPr>
          <w:sz w:val="18"/>
          <w:szCs w:val="18"/>
        </w:rPr>
        <w:t>.</w:t>
      </w:r>
      <w:r w:rsidRPr="00437DBA">
        <w:rPr>
          <w:sz w:val="18"/>
          <w:szCs w:val="18"/>
        </w:rPr>
        <w:t xml:space="preserve"> Coin: What’s the </w:t>
      </w:r>
      <w:proofErr w:type="gramStart"/>
      <w:r w:rsidRPr="00437DBA">
        <w:rPr>
          <w:sz w:val="18"/>
          <w:szCs w:val="18"/>
        </w:rPr>
        <w:t>Difference?</w:t>
      </w:r>
      <w:r w:rsidRPr="00437DBA">
        <w:rPr>
          <w:sz w:val="18"/>
          <w:szCs w:val="18"/>
        </w:rPr>
        <w:t>,</w:t>
      </w:r>
      <w:proofErr w:type="gramEnd"/>
      <w:r w:rsidR="00437DBA">
        <w:rPr>
          <w:sz w:val="18"/>
          <w:szCs w:val="18"/>
        </w:rPr>
        <w:t>”</w:t>
      </w:r>
      <w:r w:rsidRPr="00DF0FB5">
        <w:rPr>
          <w:sz w:val="18"/>
          <w:szCs w:val="18"/>
        </w:rPr>
        <w:t xml:space="preserve"> </w:t>
      </w:r>
      <w:proofErr w:type="spellStart"/>
      <w:r w:rsidRPr="00437DBA">
        <w:rPr>
          <w:sz w:val="18"/>
          <w:szCs w:val="18"/>
        </w:rPr>
        <w:t>Bitdegre</w:t>
      </w:r>
      <w:r w:rsidRPr="00437DBA">
        <w:rPr>
          <w:sz w:val="18"/>
          <w:szCs w:val="18"/>
        </w:rPr>
        <w:t>e</w:t>
      </w:r>
      <w:proofErr w:type="spellEnd"/>
      <w:r w:rsidRPr="00DF0FB5">
        <w:rPr>
          <w:sz w:val="18"/>
          <w:szCs w:val="18"/>
        </w:rPr>
        <w:t>,</w:t>
      </w:r>
      <w:r w:rsidRPr="00DF0FB5">
        <w:rPr>
          <w:sz w:val="18"/>
          <w:szCs w:val="18"/>
        </w:rPr>
        <w:t xml:space="preserve"> </w:t>
      </w:r>
      <w:r w:rsidR="00437DBA" w:rsidRPr="00437DBA">
        <w:rPr>
          <w:i/>
          <w:sz w:val="18"/>
          <w:szCs w:val="18"/>
        </w:rPr>
        <w:t>available at</w:t>
      </w:r>
      <w:r w:rsidR="00437DBA">
        <w:rPr>
          <w:sz w:val="18"/>
          <w:szCs w:val="18"/>
        </w:rPr>
        <w:t xml:space="preserve"> </w:t>
      </w:r>
      <w:r w:rsidRPr="00DF0FB5">
        <w:rPr>
          <w:sz w:val="18"/>
          <w:szCs w:val="18"/>
        </w:rPr>
        <w:t xml:space="preserve">www.bitdegree.org/tutorials/token-vs-coin/ </w:t>
      </w:r>
      <w:r w:rsidRPr="00DF0FB5">
        <w:rPr>
          <w:sz w:val="18"/>
          <w:szCs w:val="18"/>
        </w:rPr>
        <w:t>(last updated Nov. 9, 2018)</w:t>
      </w:r>
      <w:r w:rsidRPr="00DF0FB5">
        <w:rPr>
          <w:sz w:val="18"/>
          <w:szCs w:val="18"/>
        </w:rPr>
        <w:t xml:space="preserve"> (providing examples and explanations of the difference between coins and tokens)</w:t>
      </w:r>
      <w:r w:rsidRPr="00DF0FB5">
        <w:rPr>
          <w:sz w:val="18"/>
          <w:szCs w:val="18"/>
        </w:rPr>
        <w:t>.</w:t>
      </w:r>
    </w:p>
  </w:footnote>
  <w:footnote w:id="4">
    <w:p w14:paraId="586B5BA3" w14:textId="77777777" w:rsidR="008C6DEC" w:rsidRPr="00DF0FB5" w:rsidRDefault="00280497">
      <w:pPr>
        <w:pStyle w:val="FootnoteText"/>
        <w:rPr>
          <w:sz w:val="18"/>
          <w:szCs w:val="18"/>
        </w:rPr>
      </w:pPr>
      <w:r w:rsidRPr="00DF0FB5">
        <w:rPr>
          <w:rStyle w:val="FootnoteReference"/>
          <w:sz w:val="18"/>
          <w:szCs w:val="18"/>
        </w:rPr>
        <w:footnoteRef/>
      </w:r>
      <w:r w:rsidRPr="00DF0FB5">
        <w:rPr>
          <w:sz w:val="18"/>
          <w:szCs w:val="18"/>
        </w:rPr>
        <w:t xml:space="preserve"> </w:t>
      </w:r>
      <w:r w:rsidRPr="00DF0FB5">
        <w:rPr>
          <w:i/>
          <w:sz w:val="18"/>
          <w:szCs w:val="18"/>
        </w:rPr>
        <w:t xml:space="preserve">See </w:t>
      </w:r>
      <w:r w:rsidRPr="00DF0FB5">
        <w:rPr>
          <w:i/>
          <w:sz w:val="18"/>
          <w:szCs w:val="18"/>
        </w:rPr>
        <w:t>i</w:t>
      </w:r>
      <w:r w:rsidRPr="00DF0FB5">
        <w:rPr>
          <w:i/>
          <w:sz w:val="18"/>
          <w:szCs w:val="18"/>
        </w:rPr>
        <w:t>d</w:t>
      </w:r>
      <w:r w:rsidR="00437DBA">
        <w:rPr>
          <w:sz w:val="18"/>
          <w:szCs w:val="18"/>
        </w:rPr>
        <w:t>.</w:t>
      </w:r>
    </w:p>
  </w:footnote>
  <w:footnote w:id="5">
    <w:p w14:paraId="29A76DCF" w14:textId="77777777" w:rsidR="00BC00E2" w:rsidRPr="00DF0FB5" w:rsidRDefault="00280497">
      <w:pPr>
        <w:pStyle w:val="FootnoteText"/>
        <w:rPr>
          <w:sz w:val="18"/>
          <w:szCs w:val="18"/>
        </w:rPr>
      </w:pPr>
      <w:r w:rsidRPr="00DF0FB5">
        <w:rPr>
          <w:rStyle w:val="FootnoteReference"/>
          <w:sz w:val="18"/>
          <w:szCs w:val="18"/>
        </w:rPr>
        <w:footnoteRef/>
      </w:r>
      <w:r w:rsidRPr="00DF0FB5">
        <w:rPr>
          <w:sz w:val="18"/>
          <w:szCs w:val="18"/>
        </w:rPr>
        <w:t xml:space="preserve"> Douglas </w:t>
      </w:r>
      <w:proofErr w:type="spellStart"/>
      <w:r w:rsidRPr="00DF0FB5">
        <w:rPr>
          <w:sz w:val="18"/>
          <w:szCs w:val="18"/>
        </w:rPr>
        <w:t>Pepe</w:t>
      </w:r>
      <w:proofErr w:type="spellEnd"/>
      <w:r w:rsidRPr="00DF0FB5">
        <w:rPr>
          <w:sz w:val="18"/>
          <w:szCs w:val="18"/>
        </w:rPr>
        <w:t xml:space="preserve">, </w:t>
      </w:r>
      <w:r w:rsidR="00437DBA">
        <w:rPr>
          <w:sz w:val="18"/>
          <w:szCs w:val="18"/>
        </w:rPr>
        <w:t>“</w:t>
      </w:r>
      <w:r w:rsidRPr="00437DBA">
        <w:rPr>
          <w:sz w:val="18"/>
          <w:szCs w:val="18"/>
        </w:rPr>
        <w:t xml:space="preserve">Are </w:t>
      </w:r>
      <w:proofErr w:type="spellStart"/>
      <w:r w:rsidRPr="00437DBA">
        <w:rPr>
          <w:sz w:val="18"/>
          <w:szCs w:val="18"/>
        </w:rPr>
        <w:t>Blockchain</w:t>
      </w:r>
      <w:proofErr w:type="spellEnd"/>
      <w:r w:rsidRPr="00437DBA">
        <w:rPr>
          <w:sz w:val="18"/>
          <w:szCs w:val="18"/>
        </w:rPr>
        <w:t xml:space="preserve"> Utility Tokens </w:t>
      </w:r>
      <w:proofErr w:type="gramStart"/>
      <w:r w:rsidRPr="00437DBA">
        <w:rPr>
          <w:sz w:val="18"/>
          <w:szCs w:val="18"/>
        </w:rPr>
        <w:t>Securities</w:t>
      </w:r>
      <w:r w:rsidRPr="00437DBA">
        <w:rPr>
          <w:sz w:val="18"/>
          <w:szCs w:val="18"/>
        </w:rPr>
        <w:t>?</w:t>
      </w:r>
      <w:r w:rsidRPr="00437DBA">
        <w:rPr>
          <w:sz w:val="18"/>
          <w:szCs w:val="18"/>
        </w:rPr>
        <w:t>,</w:t>
      </w:r>
      <w:proofErr w:type="gramEnd"/>
      <w:r w:rsidR="00437DBA">
        <w:rPr>
          <w:sz w:val="18"/>
          <w:szCs w:val="18"/>
        </w:rPr>
        <w:t>”</w:t>
      </w:r>
      <w:r w:rsidRPr="00437DBA">
        <w:rPr>
          <w:sz w:val="18"/>
          <w:szCs w:val="18"/>
        </w:rPr>
        <w:t xml:space="preserve"> </w:t>
      </w:r>
      <w:r w:rsidRPr="00437DBA">
        <w:rPr>
          <w:i/>
          <w:sz w:val="18"/>
          <w:szCs w:val="18"/>
        </w:rPr>
        <w:t>Law360</w:t>
      </w:r>
      <w:r w:rsidRPr="00DF0FB5">
        <w:rPr>
          <w:sz w:val="18"/>
          <w:szCs w:val="18"/>
        </w:rPr>
        <w:t xml:space="preserve"> (July 24, 2018), </w:t>
      </w:r>
      <w:r w:rsidR="00437DBA" w:rsidRPr="00437DBA">
        <w:rPr>
          <w:i/>
          <w:sz w:val="18"/>
          <w:szCs w:val="18"/>
        </w:rPr>
        <w:t xml:space="preserve">available at </w:t>
      </w:r>
      <w:r w:rsidRPr="00DF0FB5">
        <w:rPr>
          <w:sz w:val="18"/>
          <w:szCs w:val="18"/>
        </w:rPr>
        <w:t>www.law360.com/articles/1066435/are-blockch</w:t>
      </w:r>
      <w:r w:rsidR="00437DBA">
        <w:rPr>
          <w:sz w:val="18"/>
          <w:szCs w:val="18"/>
        </w:rPr>
        <w:t>ain-utility-tokens-securities-.</w:t>
      </w:r>
    </w:p>
  </w:footnote>
  <w:footnote w:id="6">
    <w:p w14:paraId="172C5FC4" w14:textId="77777777" w:rsidR="00167FA4" w:rsidRPr="006A5469" w:rsidRDefault="00280497">
      <w:pPr>
        <w:pStyle w:val="FootnoteText"/>
        <w:rPr>
          <w:sz w:val="18"/>
          <w:szCs w:val="18"/>
        </w:rPr>
      </w:pPr>
      <w:r w:rsidRPr="00DF0FB5">
        <w:rPr>
          <w:rStyle w:val="FootnoteReference"/>
          <w:sz w:val="18"/>
          <w:szCs w:val="18"/>
        </w:rPr>
        <w:footnoteRef/>
      </w:r>
      <w:r w:rsidRPr="00DF0FB5">
        <w:rPr>
          <w:sz w:val="18"/>
          <w:szCs w:val="18"/>
        </w:rPr>
        <w:t xml:space="preserve"> King, </w:t>
      </w:r>
      <w:r w:rsidR="00437DBA">
        <w:rPr>
          <w:sz w:val="18"/>
          <w:szCs w:val="18"/>
        </w:rPr>
        <w:t>“</w:t>
      </w:r>
      <w:r w:rsidRPr="00437DBA">
        <w:rPr>
          <w:sz w:val="18"/>
          <w:szCs w:val="18"/>
        </w:rPr>
        <w:t>Token vs</w:t>
      </w:r>
      <w:r w:rsidR="00437DBA" w:rsidRPr="00437DBA">
        <w:rPr>
          <w:sz w:val="18"/>
          <w:szCs w:val="18"/>
        </w:rPr>
        <w:t>.</w:t>
      </w:r>
      <w:r w:rsidRPr="00437DBA">
        <w:rPr>
          <w:sz w:val="18"/>
          <w:szCs w:val="18"/>
        </w:rPr>
        <w:t xml:space="preserve"> Coin,</w:t>
      </w:r>
      <w:r w:rsidR="00437DBA">
        <w:rPr>
          <w:sz w:val="18"/>
          <w:szCs w:val="18"/>
        </w:rPr>
        <w:t>”</w:t>
      </w:r>
      <w:r w:rsidRPr="00DF0FB5">
        <w:rPr>
          <w:i/>
          <w:sz w:val="18"/>
          <w:szCs w:val="18"/>
        </w:rPr>
        <w:t xml:space="preserve"> supra </w:t>
      </w:r>
      <w:r w:rsidRPr="00DF0FB5">
        <w:rPr>
          <w:sz w:val="18"/>
          <w:szCs w:val="18"/>
        </w:rPr>
        <w:t xml:space="preserve">note </w:t>
      </w:r>
      <w:r w:rsidRPr="00DF0FB5">
        <w:rPr>
          <w:sz w:val="18"/>
          <w:szCs w:val="18"/>
        </w:rPr>
        <w:fldChar w:fldCharType="begin"/>
      </w:r>
      <w:r w:rsidRPr="00DF0FB5">
        <w:rPr>
          <w:sz w:val="18"/>
          <w:szCs w:val="18"/>
        </w:rPr>
        <w:instrText xml:space="preserve"> NOTEREF _Ref532458457 \h </w:instrText>
      </w:r>
      <w:r>
        <w:rPr>
          <w:sz w:val="18"/>
          <w:szCs w:val="18"/>
        </w:rPr>
        <w:instrText xml:space="preserve"> \* MERGEFORMAT </w:instrText>
      </w:r>
      <w:r w:rsidRPr="00DF0FB5">
        <w:rPr>
          <w:sz w:val="18"/>
          <w:szCs w:val="18"/>
        </w:rPr>
      </w:r>
      <w:r w:rsidRPr="00DF0FB5">
        <w:rPr>
          <w:sz w:val="18"/>
          <w:szCs w:val="18"/>
        </w:rPr>
        <w:fldChar w:fldCharType="separate"/>
      </w:r>
      <w:r>
        <w:rPr>
          <w:sz w:val="18"/>
          <w:szCs w:val="18"/>
        </w:rPr>
        <w:t>3</w:t>
      </w:r>
      <w:r w:rsidRPr="00DF0FB5">
        <w:rPr>
          <w:sz w:val="18"/>
          <w:szCs w:val="18"/>
        </w:rPr>
        <w:fldChar w:fldCharType="end"/>
      </w:r>
      <w:r w:rsidRPr="00DF0FB5">
        <w:rPr>
          <w:sz w:val="18"/>
          <w:szCs w:val="18"/>
        </w:rPr>
        <w:t xml:space="preserve"> (referenc</w:t>
      </w:r>
      <w:r w:rsidRPr="00DF0FB5">
        <w:rPr>
          <w:sz w:val="18"/>
          <w:szCs w:val="18"/>
        </w:rPr>
        <w:t xml:space="preserve">ing </w:t>
      </w:r>
      <w:proofErr w:type="spellStart"/>
      <w:r w:rsidRPr="00DF0FB5">
        <w:rPr>
          <w:sz w:val="18"/>
          <w:szCs w:val="18"/>
        </w:rPr>
        <w:t>Musicoin</w:t>
      </w:r>
      <w:proofErr w:type="spellEnd"/>
      <w:r w:rsidRPr="00DF0FB5">
        <w:rPr>
          <w:sz w:val="18"/>
          <w:szCs w:val="18"/>
        </w:rPr>
        <w:t xml:space="preserve"> as an example that gives its holders access to certain features on the </w:t>
      </w:r>
      <w:proofErr w:type="spellStart"/>
      <w:r w:rsidRPr="00DF0FB5">
        <w:rPr>
          <w:sz w:val="18"/>
          <w:szCs w:val="18"/>
        </w:rPr>
        <w:t>Musicoin</w:t>
      </w:r>
      <w:proofErr w:type="spellEnd"/>
      <w:r w:rsidRPr="00DF0FB5">
        <w:rPr>
          <w:sz w:val="18"/>
          <w:szCs w:val="18"/>
        </w:rPr>
        <w:t xml:space="preserve"> Platform, such as streaming music).</w:t>
      </w:r>
      <w:r w:rsidR="00437DBA"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But see </w:t>
      </w:r>
      <w:r>
        <w:rPr>
          <w:sz w:val="18"/>
          <w:szCs w:val="18"/>
        </w:rPr>
        <w:t xml:space="preserve">Dean Seal, </w:t>
      </w:r>
      <w:r w:rsidR="00437DBA">
        <w:rPr>
          <w:sz w:val="18"/>
          <w:szCs w:val="18"/>
        </w:rPr>
        <w:t>“</w:t>
      </w:r>
      <w:r w:rsidRPr="00437DBA">
        <w:rPr>
          <w:sz w:val="18"/>
          <w:szCs w:val="18"/>
        </w:rPr>
        <w:t>SEC Hasn’t</w:t>
      </w:r>
      <w:r w:rsidRPr="00437DBA">
        <w:rPr>
          <w:sz w:val="18"/>
          <w:szCs w:val="18"/>
        </w:rPr>
        <w:t xml:space="preserve"> Shown Crypto Tokens Are Securities, Judge Says</w:t>
      </w:r>
      <w:r w:rsidRPr="00437DBA">
        <w:rPr>
          <w:sz w:val="18"/>
          <w:szCs w:val="18"/>
        </w:rPr>
        <w:t>,</w:t>
      </w:r>
      <w:r w:rsidR="00437DBA">
        <w:rPr>
          <w:sz w:val="18"/>
          <w:szCs w:val="18"/>
        </w:rPr>
        <w:t>”</w:t>
      </w:r>
      <w:r w:rsidRPr="00437DBA">
        <w:rPr>
          <w:sz w:val="18"/>
          <w:szCs w:val="18"/>
        </w:rPr>
        <w:t xml:space="preserve"> </w:t>
      </w:r>
      <w:r w:rsidRPr="00437DBA">
        <w:rPr>
          <w:i/>
          <w:sz w:val="18"/>
          <w:szCs w:val="18"/>
        </w:rPr>
        <w:t>Law360</w:t>
      </w:r>
      <w:r>
        <w:rPr>
          <w:sz w:val="18"/>
          <w:szCs w:val="18"/>
        </w:rPr>
        <w:t xml:space="preserve"> (Nov. 27, 2018),</w:t>
      </w:r>
      <w:r w:rsidR="00437DBA">
        <w:rPr>
          <w:sz w:val="18"/>
          <w:szCs w:val="18"/>
        </w:rPr>
        <w:t xml:space="preserve"> </w:t>
      </w:r>
      <w:r w:rsidR="00437DBA" w:rsidRPr="00437DBA">
        <w:rPr>
          <w:i/>
          <w:sz w:val="18"/>
          <w:szCs w:val="18"/>
        </w:rPr>
        <w:t>available at</w:t>
      </w:r>
      <w:r>
        <w:rPr>
          <w:sz w:val="18"/>
          <w:szCs w:val="18"/>
        </w:rPr>
        <w:t xml:space="preserve"> </w:t>
      </w:r>
      <w:hyperlink r:id="rId1" w:history="1">
        <w:r w:rsidRPr="00613BB7">
          <w:rPr>
            <w:rStyle w:val="Hyperlink"/>
            <w:sz w:val="18"/>
            <w:szCs w:val="18"/>
          </w:rPr>
          <w:t>www.law360.com/articles/1105406/sec-hasn-t-shown-crypto-tokens-are-securities-judge-says</w:t>
        </w:r>
      </w:hyperlink>
      <w:r w:rsidRPr="00613BB7">
        <w:rPr>
          <w:rStyle w:val="Hyperlink"/>
          <w:sz w:val="18"/>
          <w:szCs w:val="18"/>
        </w:rPr>
        <w:t xml:space="preserve"> (</w:t>
      </w:r>
      <w:r w:rsidRPr="00613BB7">
        <w:rPr>
          <w:rStyle w:val="Hyperlink"/>
          <w:sz w:val="18"/>
          <w:szCs w:val="18"/>
        </w:rPr>
        <w:t xml:space="preserve">discussing a recent </w:t>
      </w:r>
      <w:r>
        <w:rPr>
          <w:rStyle w:val="Hyperlink"/>
          <w:sz w:val="18"/>
          <w:szCs w:val="18"/>
        </w:rPr>
        <w:t>case in which</w:t>
      </w:r>
      <w:r w:rsidRPr="00613BB7">
        <w:rPr>
          <w:rStyle w:val="Hyperlink"/>
          <w:sz w:val="18"/>
          <w:szCs w:val="18"/>
        </w:rPr>
        <w:t xml:space="preserve"> a federal j</w:t>
      </w:r>
      <w:r w:rsidRPr="00613BB7">
        <w:rPr>
          <w:rStyle w:val="Hyperlink"/>
          <w:sz w:val="18"/>
          <w:szCs w:val="18"/>
        </w:rPr>
        <w:t xml:space="preserve">udge found that the SEC had not demonstrated that a token offered through an ICO was a </w:t>
      </w:r>
      <w:r>
        <w:rPr>
          <w:rStyle w:val="Hyperlink"/>
          <w:sz w:val="18"/>
          <w:szCs w:val="18"/>
        </w:rPr>
        <w:t>“security”).</w:t>
      </w:r>
    </w:p>
  </w:footnote>
  <w:footnote w:id="7">
    <w:p w14:paraId="1C629335" w14:textId="77777777" w:rsidR="000A05A9" w:rsidRPr="00DF0FB5" w:rsidRDefault="00280497">
      <w:pPr>
        <w:pStyle w:val="FootnoteText"/>
        <w:rPr>
          <w:sz w:val="18"/>
          <w:szCs w:val="18"/>
        </w:rPr>
      </w:pPr>
      <w:r w:rsidRPr="00DF0FB5">
        <w:rPr>
          <w:rStyle w:val="FootnoteReference"/>
          <w:sz w:val="18"/>
          <w:szCs w:val="18"/>
        </w:rPr>
        <w:footnoteRef/>
      </w:r>
      <w:r w:rsidRPr="00DF0FB5">
        <w:rPr>
          <w:sz w:val="18"/>
          <w:szCs w:val="18"/>
        </w:rPr>
        <w:t xml:space="preserve"> U.C.C. §</w:t>
      </w:r>
      <w:r w:rsidR="00437DBA">
        <w:rPr>
          <w:sz w:val="18"/>
          <w:szCs w:val="18"/>
        </w:rPr>
        <w:t> </w:t>
      </w:r>
      <w:r w:rsidRPr="00DF0FB5">
        <w:rPr>
          <w:sz w:val="18"/>
          <w:szCs w:val="18"/>
        </w:rPr>
        <w:t>1-201(a</w:t>
      </w:r>
      <w:proofErr w:type="gramStart"/>
      <w:r w:rsidRPr="00DF0FB5">
        <w:rPr>
          <w:sz w:val="18"/>
          <w:szCs w:val="18"/>
        </w:rPr>
        <w:t>)(</w:t>
      </w:r>
      <w:proofErr w:type="gramEnd"/>
      <w:r w:rsidRPr="00DF0FB5">
        <w:rPr>
          <w:sz w:val="18"/>
          <w:szCs w:val="18"/>
        </w:rPr>
        <w:t>24) (</w:t>
      </w:r>
      <w:r>
        <w:rPr>
          <w:sz w:val="18"/>
          <w:szCs w:val="18"/>
        </w:rPr>
        <w:t>2010</w:t>
      </w:r>
      <w:r w:rsidRPr="00DF0FB5">
        <w:rPr>
          <w:sz w:val="18"/>
          <w:szCs w:val="18"/>
        </w:rPr>
        <w:t>).</w:t>
      </w:r>
    </w:p>
  </w:footnote>
  <w:footnote w:id="8">
    <w:p w14:paraId="0CB62A27" w14:textId="77777777" w:rsidR="00504C0E" w:rsidRPr="00DF0FB5" w:rsidRDefault="00280497">
      <w:pPr>
        <w:pStyle w:val="FootnoteText"/>
        <w:rPr>
          <w:sz w:val="18"/>
          <w:szCs w:val="18"/>
        </w:rPr>
      </w:pPr>
      <w:r w:rsidRPr="00DF0FB5">
        <w:rPr>
          <w:rStyle w:val="FootnoteReference"/>
          <w:sz w:val="18"/>
          <w:szCs w:val="18"/>
        </w:rPr>
        <w:footnoteRef/>
      </w:r>
      <w:r w:rsidRPr="00DF0FB5">
        <w:rPr>
          <w:sz w:val="18"/>
          <w:szCs w:val="18"/>
        </w:rPr>
        <w:t xml:space="preserve"> U.C.C. §</w:t>
      </w:r>
      <w:r w:rsidR="00437DBA">
        <w:rPr>
          <w:sz w:val="18"/>
          <w:szCs w:val="18"/>
        </w:rPr>
        <w:t> </w:t>
      </w:r>
      <w:r w:rsidRPr="00DF0FB5">
        <w:rPr>
          <w:sz w:val="18"/>
          <w:szCs w:val="18"/>
        </w:rPr>
        <w:t>9-102(a</w:t>
      </w:r>
      <w:proofErr w:type="gramStart"/>
      <w:r w:rsidRPr="00DF0FB5">
        <w:rPr>
          <w:sz w:val="18"/>
          <w:szCs w:val="18"/>
        </w:rPr>
        <w:t>)(</w:t>
      </w:r>
      <w:proofErr w:type="gramEnd"/>
      <w:r w:rsidRPr="00DF0FB5">
        <w:rPr>
          <w:sz w:val="18"/>
          <w:szCs w:val="18"/>
        </w:rPr>
        <w:t>43) (2010).</w:t>
      </w:r>
    </w:p>
  </w:footnote>
  <w:footnote w:id="9">
    <w:p w14:paraId="437BE219" w14:textId="77777777" w:rsidR="00B72264" w:rsidRPr="00DF0FB5" w:rsidRDefault="00280497">
      <w:pPr>
        <w:pStyle w:val="FootnoteText"/>
        <w:rPr>
          <w:sz w:val="18"/>
          <w:szCs w:val="18"/>
        </w:rPr>
      </w:pPr>
      <w:r w:rsidRPr="00DF0FB5">
        <w:rPr>
          <w:rStyle w:val="FootnoteReference"/>
          <w:sz w:val="18"/>
          <w:szCs w:val="18"/>
        </w:rPr>
        <w:footnoteRef/>
      </w:r>
      <w:r w:rsidRPr="00DF0FB5">
        <w:rPr>
          <w:sz w:val="18"/>
          <w:szCs w:val="18"/>
        </w:rPr>
        <w:t xml:space="preserve"> </w:t>
      </w:r>
      <w:r w:rsidRPr="00DF0FB5">
        <w:rPr>
          <w:sz w:val="18"/>
          <w:szCs w:val="18"/>
        </w:rPr>
        <w:t>U.C.C. §</w:t>
      </w:r>
      <w:r w:rsidR="00437DBA">
        <w:rPr>
          <w:sz w:val="18"/>
          <w:szCs w:val="18"/>
        </w:rPr>
        <w:t> </w:t>
      </w:r>
      <w:r w:rsidRPr="00DF0FB5">
        <w:rPr>
          <w:sz w:val="18"/>
          <w:szCs w:val="18"/>
        </w:rPr>
        <w:t>9-315(a) (2010)</w:t>
      </w:r>
      <w:r w:rsidRPr="00DF0FB5">
        <w:rPr>
          <w:sz w:val="18"/>
          <w:szCs w:val="18"/>
        </w:rPr>
        <w:t>.</w:t>
      </w:r>
    </w:p>
  </w:footnote>
  <w:footnote w:id="10">
    <w:p w14:paraId="029DC150" w14:textId="77777777" w:rsidR="00131CFD" w:rsidRPr="00DF0FB5" w:rsidRDefault="00280497">
      <w:pPr>
        <w:pStyle w:val="FootnoteText"/>
        <w:rPr>
          <w:sz w:val="18"/>
          <w:szCs w:val="18"/>
        </w:rPr>
      </w:pPr>
      <w:r w:rsidRPr="00DF0FB5">
        <w:rPr>
          <w:rStyle w:val="FootnoteReference"/>
          <w:sz w:val="18"/>
          <w:szCs w:val="18"/>
        </w:rPr>
        <w:footnoteRef/>
      </w:r>
      <w:r w:rsidRPr="00DF0FB5">
        <w:rPr>
          <w:sz w:val="18"/>
          <w:szCs w:val="18"/>
        </w:rPr>
        <w:t xml:space="preserve"> </w:t>
      </w:r>
      <w:r w:rsidRPr="00DF0FB5">
        <w:rPr>
          <w:i/>
          <w:sz w:val="18"/>
          <w:szCs w:val="18"/>
        </w:rPr>
        <w:t>See, e.g.,</w:t>
      </w:r>
      <w:r w:rsidRPr="00DF0FB5">
        <w:rPr>
          <w:sz w:val="18"/>
          <w:szCs w:val="18"/>
        </w:rPr>
        <w:t xml:space="preserve"> </w:t>
      </w:r>
      <w:r w:rsidRPr="00DF0FB5">
        <w:rPr>
          <w:i/>
          <w:sz w:val="18"/>
          <w:szCs w:val="18"/>
        </w:rPr>
        <w:t>Schroeder</w:t>
      </w:r>
      <w:r w:rsidRPr="00DF0FB5">
        <w:rPr>
          <w:sz w:val="18"/>
          <w:szCs w:val="18"/>
        </w:rPr>
        <w:t xml:space="preserve">, </w:t>
      </w:r>
      <w:r w:rsidRPr="00DF0FB5">
        <w:rPr>
          <w:i/>
          <w:sz w:val="18"/>
          <w:szCs w:val="18"/>
        </w:rPr>
        <w:t xml:space="preserve">supra </w:t>
      </w:r>
      <w:r w:rsidRPr="00DF0FB5">
        <w:rPr>
          <w:sz w:val="18"/>
          <w:szCs w:val="18"/>
        </w:rPr>
        <w:t xml:space="preserve">note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NOTEREF _Ref532458482 \h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t>2</w:t>
      </w:r>
      <w:r>
        <w:rPr>
          <w:sz w:val="18"/>
          <w:szCs w:val="18"/>
        </w:rPr>
        <w:fldChar w:fldCharType="end"/>
      </w:r>
      <w:r w:rsidRPr="00DF0FB5">
        <w:rPr>
          <w:sz w:val="18"/>
          <w:szCs w:val="18"/>
        </w:rPr>
        <w:t>,</w:t>
      </w:r>
      <w:r w:rsidRPr="00DF0FB5">
        <w:rPr>
          <w:sz w:val="18"/>
          <w:szCs w:val="18"/>
        </w:rPr>
        <w:t xml:space="preserve"> at 30</w:t>
      </w:r>
      <w:r w:rsidR="00437DBA">
        <w:rPr>
          <w:sz w:val="18"/>
          <w:szCs w:val="18"/>
        </w:rPr>
        <w:t>-43 (arguing that if B</w:t>
      </w:r>
      <w:r w:rsidRPr="00DF0FB5">
        <w:rPr>
          <w:sz w:val="18"/>
          <w:szCs w:val="18"/>
        </w:rPr>
        <w:t xml:space="preserve">itcoin falls under </w:t>
      </w:r>
      <w:r w:rsidR="00437DBA">
        <w:rPr>
          <w:sz w:val="18"/>
          <w:szCs w:val="18"/>
        </w:rPr>
        <w:t>“</w:t>
      </w:r>
      <w:r w:rsidRPr="00DF0FB5">
        <w:rPr>
          <w:sz w:val="18"/>
          <w:szCs w:val="18"/>
        </w:rPr>
        <w:t>general intangibles</w:t>
      </w:r>
      <w:r w:rsidR="00437DBA">
        <w:rPr>
          <w:sz w:val="18"/>
          <w:szCs w:val="18"/>
        </w:rPr>
        <w:t>”</w:t>
      </w:r>
      <w:r w:rsidRPr="00DF0FB5">
        <w:rPr>
          <w:sz w:val="18"/>
          <w:szCs w:val="18"/>
        </w:rPr>
        <w:t xml:space="preserve"> category, the negative implications </w:t>
      </w:r>
      <w:r w:rsidRPr="00DF0FB5">
        <w:rPr>
          <w:sz w:val="18"/>
          <w:szCs w:val="18"/>
        </w:rPr>
        <w:t xml:space="preserve">arise because </w:t>
      </w:r>
      <w:r w:rsidRPr="00DF0FB5">
        <w:rPr>
          <w:sz w:val="18"/>
          <w:szCs w:val="18"/>
        </w:rPr>
        <w:t>security interest continues</w:t>
      </w:r>
      <w:r w:rsidR="00437DBA">
        <w:rPr>
          <w:sz w:val="18"/>
          <w:szCs w:val="18"/>
        </w:rPr>
        <w:t>).</w:t>
      </w:r>
    </w:p>
  </w:footnote>
  <w:footnote w:id="11">
    <w:p w14:paraId="790DC093" w14:textId="77777777" w:rsidR="00E44A2D" w:rsidRPr="00DF0FB5" w:rsidRDefault="00280497">
      <w:pPr>
        <w:pStyle w:val="FootnoteText"/>
        <w:rPr>
          <w:sz w:val="18"/>
          <w:szCs w:val="18"/>
        </w:rPr>
      </w:pPr>
      <w:r w:rsidRPr="00DF0FB5">
        <w:rPr>
          <w:rStyle w:val="FootnoteReference"/>
          <w:sz w:val="18"/>
          <w:szCs w:val="18"/>
        </w:rPr>
        <w:footnoteRef/>
      </w:r>
      <w:r w:rsidRPr="00DF0FB5">
        <w:rPr>
          <w:sz w:val="18"/>
          <w:szCs w:val="18"/>
        </w:rPr>
        <w:t xml:space="preserve"> </w:t>
      </w:r>
      <w:r w:rsidRPr="00DF0FB5">
        <w:rPr>
          <w:i/>
          <w:sz w:val="18"/>
          <w:szCs w:val="18"/>
        </w:rPr>
        <w:t>See</w:t>
      </w:r>
      <w:r w:rsidRPr="00DF0FB5">
        <w:rPr>
          <w:sz w:val="18"/>
          <w:szCs w:val="18"/>
        </w:rPr>
        <w:t xml:space="preserve"> </w:t>
      </w:r>
      <w:r w:rsidRPr="00DF0FB5">
        <w:rPr>
          <w:i/>
          <w:sz w:val="18"/>
          <w:szCs w:val="18"/>
        </w:rPr>
        <w:t>Schroeder</w:t>
      </w:r>
      <w:r w:rsidRPr="00DF0FB5">
        <w:rPr>
          <w:sz w:val="18"/>
          <w:szCs w:val="18"/>
        </w:rPr>
        <w:t xml:space="preserve">, </w:t>
      </w:r>
      <w:r w:rsidRPr="00DF0FB5">
        <w:rPr>
          <w:i/>
          <w:sz w:val="18"/>
          <w:szCs w:val="18"/>
        </w:rPr>
        <w:t xml:space="preserve">supra </w:t>
      </w:r>
      <w:r w:rsidRPr="00DF0FB5">
        <w:rPr>
          <w:sz w:val="18"/>
          <w:szCs w:val="18"/>
        </w:rPr>
        <w:t xml:space="preserve">note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NOTEREF _Ref532458482 \h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t>2</w:t>
      </w:r>
      <w:r>
        <w:rPr>
          <w:sz w:val="18"/>
          <w:szCs w:val="18"/>
        </w:rPr>
        <w:fldChar w:fldCharType="end"/>
      </w:r>
      <w:r w:rsidRPr="00DF0FB5">
        <w:rPr>
          <w:sz w:val="18"/>
          <w:szCs w:val="18"/>
        </w:rPr>
        <w:t xml:space="preserve">, </w:t>
      </w:r>
      <w:r w:rsidR="00437DBA">
        <w:rPr>
          <w:sz w:val="18"/>
          <w:szCs w:val="18"/>
        </w:rPr>
        <w:t>at 41 (arguing that</w:t>
      </w:r>
      <w:r w:rsidRPr="00DF0FB5">
        <w:rPr>
          <w:sz w:val="18"/>
          <w:szCs w:val="18"/>
        </w:rPr>
        <w:t xml:space="preserve"> proceeds security interest in bitcoins limits their negotiability and utility as a currency or payment sy</w:t>
      </w:r>
      <w:r w:rsidRPr="00DF0FB5">
        <w:rPr>
          <w:sz w:val="18"/>
          <w:szCs w:val="18"/>
        </w:rPr>
        <w:t xml:space="preserve">stem); </w:t>
      </w:r>
      <w:proofErr w:type="spellStart"/>
      <w:r w:rsidRPr="00DF0FB5">
        <w:rPr>
          <w:i/>
          <w:sz w:val="18"/>
          <w:szCs w:val="18"/>
        </w:rPr>
        <w:t>Fogg</w:t>
      </w:r>
      <w:proofErr w:type="spellEnd"/>
      <w:r w:rsidRPr="00DF0FB5">
        <w:rPr>
          <w:i/>
          <w:sz w:val="18"/>
          <w:szCs w:val="18"/>
        </w:rPr>
        <w:t>, supra note</w:t>
      </w:r>
      <w:r w:rsidRPr="00DF0FB5">
        <w:rPr>
          <w:sz w:val="18"/>
          <w:szCs w:val="18"/>
        </w:rPr>
        <w:t xml:space="preserve"> </w:t>
      </w:r>
      <w:r w:rsidRPr="00DF0FB5">
        <w:rPr>
          <w:sz w:val="18"/>
          <w:szCs w:val="18"/>
        </w:rPr>
        <w:fldChar w:fldCharType="begin"/>
      </w:r>
      <w:r w:rsidRPr="00DF0FB5">
        <w:rPr>
          <w:sz w:val="18"/>
          <w:szCs w:val="18"/>
        </w:rPr>
        <w:instrText xml:space="preserve"> NOTEREF _Ref532458482 \h </w:instrText>
      </w:r>
      <w:r>
        <w:rPr>
          <w:sz w:val="18"/>
          <w:szCs w:val="18"/>
        </w:rPr>
        <w:instrText xml:space="preserve"> \* MERGEFORMAT </w:instrText>
      </w:r>
      <w:r w:rsidRPr="00DF0FB5">
        <w:rPr>
          <w:sz w:val="18"/>
          <w:szCs w:val="18"/>
        </w:rPr>
      </w:r>
      <w:r w:rsidRPr="00DF0FB5">
        <w:rPr>
          <w:sz w:val="18"/>
          <w:szCs w:val="18"/>
        </w:rPr>
        <w:fldChar w:fldCharType="separate"/>
      </w:r>
      <w:r>
        <w:rPr>
          <w:sz w:val="18"/>
          <w:szCs w:val="18"/>
        </w:rPr>
        <w:t>2</w:t>
      </w:r>
      <w:r w:rsidRPr="00DF0FB5">
        <w:rPr>
          <w:sz w:val="18"/>
          <w:szCs w:val="18"/>
        </w:rPr>
        <w:fldChar w:fldCharType="end"/>
      </w:r>
      <w:r w:rsidRPr="00DF0FB5">
        <w:rPr>
          <w:sz w:val="18"/>
          <w:szCs w:val="18"/>
        </w:rPr>
        <w:t>,</w:t>
      </w:r>
      <w:r w:rsidRPr="00DF0FB5">
        <w:rPr>
          <w:sz w:val="18"/>
          <w:szCs w:val="18"/>
        </w:rPr>
        <w:t xml:space="preserve"> at 3 (arguing that if bitcoins are considered general intangibles, the continuing security interest despite transfer </w:t>
      </w:r>
      <w:r w:rsidRPr="00DF0FB5">
        <w:rPr>
          <w:sz w:val="18"/>
          <w:szCs w:val="18"/>
        </w:rPr>
        <w:t>will prohibit Bitcoin’s evolution beyond the novelty stage).</w:t>
      </w:r>
    </w:p>
  </w:footnote>
  <w:footnote w:id="12">
    <w:p w14:paraId="1FA1AF2F" w14:textId="77777777" w:rsidR="00F470E7" w:rsidRPr="00DF0FB5" w:rsidRDefault="00280497">
      <w:pPr>
        <w:pStyle w:val="FootnoteText"/>
        <w:rPr>
          <w:sz w:val="18"/>
          <w:szCs w:val="18"/>
        </w:rPr>
      </w:pPr>
      <w:r w:rsidRPr="00DF0FB5">
        <w:rPr>
          <w:rStyle w:val="FootnoteReference"/>
          <w:sz w:val="18"/>
          <w:szCs w:val="18"/>
        </w:rPr>
        <w:footnoteRef/>
      </w:r>
      <w:r w:rsidRPr="00DF0FB5">
        <w:rPr>
          <w:sz w:val="18"/>
          <w:szCs w:val="18"/>
        </w:rPr>
        <w:t xml:space="preserve"> </w:t>
      </w:r>
      <w:bookmarkStart w:id="2" w:name="_Hlk532456191"/>
      <w:r w:rsidRPr="00DF0FB5">
        <w:rPr>
          <w:sz w:val="18"/>
          <w:szCs w:val="18"/>
        </w:rPr>
        <w:t>U.C.C. §</w:t>
      </w:r>
      <w:r w:rsidR="00437DBA">
        <w:rPr>
          <w:sz w:val="18"/>
          <w:szCs w:val="18"/>
        </w:rPr>
        <w:t> </w:t>
      </w:r>
      <w:r w:rsidRPr="00DF0FB5">
        <w:rPr>
          <w:sz w:val="18"/>
          <w:szCs w:val="18"/>
        </w:rPr>
        <w:t>8-102(15) (2010).</w:t>
      </w:r>
      <w:bookmarkEnd w:id="2"/>
    </w:p>
  </w:footnote>
  <w:footnote w:id="13">
    <w:p w14:paraId="18CA5825" w14:textId="77777777" w:rsidR="00037B96" w:rsidRPr="00DF0FB5" w:rsidRDefault="00280497" w:rsidP="003166C3">
      <w:pPr>
        <w:pStyle w:val="FootnoteText"/>
        <w:jc w:val="both"/>
        <w:rPr>
          <w:sz w:val="18"/>
          <w:szCs w:val="18"/>
        </w:rPr>
      </w:pPr>
      <w:r w:rsidRPr="00DF0FB5">
        <w:rPr>
          <w:rStyle w:val="FootnoteReference"/>
          <w:sz w:val="18"/>
          <w:szCs w:val="18"/>
        </w:rPr>
        <w:footnoteRef/>
      </w:r>
      <w:r w:rsidRPr="00DF0FB5">
        <w:rPr>
          <w:sz w:val="18"/>
          <w:szCs w:val="18"/>
        </w:rPr>
        <w:t xml:space="preserve"> Bitcoin</w:t>
      </w:r>
      <w:r w:rsidR="00437DBA">
        <w:rPr>
          <w:sz w:val="18"/>
          <w:szCs w:val="18"/>
        </w:rPr>
        <w:t>s</w:t>
      </w:r>
      <w:r w:rsidRPr="00DF0FB5">
        <w:rPr>
          <w:sz w:val="18"/>
          <w:szCs w:val="18"/>
        </w:rPr>
        <w:t xml:space="preserve"> are created through a mining process and given as a reward for providing the computational power necessary to create “blocks” on the </w:t>
      </w:r>
      <w:proofErr w:type="spellStart"/>
      <w:r w:rsidRPr="00DF0FB5">
        <w:rPr>
          <w:sz w:val="18"/>
          <w:szCs w:val="18"/>
        </w:rPr>
        <w:t>blockchain</w:t>
      </w:r>
      <w:proofErr w:type="spellEnd"/>
      <w:r w:rsidRPr="00DF0FB5">
        <w:rPr>
          <w:sz w:val="18"/>
          <w:szCs w:val="18"/>
        </w:rPr>
        <w:t>.</w:t>
      </w:r>
      <w:r w:rsidR="00437DBA">
        <w:rPr>
          <w:sz w:val="18"/>
          <w:szCs w:val="18"/>
        </w:rPr>
        <w:t xml:space="preserve"> </w:t>
      </w:r>
      <w:r w:rsidRPr="00DF0FB5">
        <w:rPr>
          <w:i/>
          <w:sz w:val="18"/>
          <w:szCs w:val="18"/>
        </w:rPr>
        <w:t xml:space="preserve">See </w:t>
      </w:r>
      <w:r w:rsidRPr="00DF0FB5">
        <w:rPr>
          <w:i/>
          <w:sz w:val="18"/>
          <w:szCs w:val="18"/>
        </w:rPr>
        <w:t>also</w:t>
      </w:r>
      <w:r w:rsidRPr="00DF0FB5">
        <w:rPr>
          <w:sz w:val="18"/>
          <w:szCs w:val="18"/>
        </w:rPr>
        <w:t xml:space="preserve"> Lawless, </w:t>
      </w:r>
      <w:r w:rsidRPr="00DF0FB5">
        <w:rPr>
          <w:i/>
          <w:sz w:val="18"/>
          <w:szCs w:val="18"/>
        </w:rPr>
        <w:t xml:space="preserve">supra </w:t>
      </w:r>
      <w:r w:rsidRPr="00DF0FB5">
        <w:rPr>
          <w:sz w:val="18"/>
          <w:szCs w:val="18"/>
        </w:rPr>
        <w:t xml:space="preserve">note </w:t>
      </w:r>
      <w:r w:rsidRPr="00DF0FB5">
        <w:rPr>
          <w:sz w:val="18"/>
          <w:szCs w:val="18"/>
        </w:rPr>
        <w:fldChar w:fldCharType="begin"/>
      </w:r>
      <w:r w:rsidRPr="00DF0FB5">
        <w:rPr>
          <w:sz w:val="18"/>
          <w:szCs w:val="18"/>
        </w:rPr>
        <w:instrText xml:space="preserve"> NOTEREF _Ref532458482 \h  \* MERGEFORMAT </w:instrText>
      </w:r>
      <w:r w:rsidRPr="00DF0FB5">
        <w:rPr>
          <w:sz w:val="18"/>
          <w:szCs w:val="18"/>
        </w:rPr>
      </w:r>
      <w:r w:rsidRPr="00DF0FB5">
        <w:rPr>
          <w:sz w:val="18"/>
          <w:szCs w:val="18"/>
        </w:rPr>
        <w:fldChar w:fldCharType="separate"/>
      </w:r>
      <w:r>
        <w:rPr>
          <w:sz w:val="18"/>
          <w:szCs w:val="18"/>
        </w:rPr>
        <w:t>2</w:t>
      </w:r>
      <w:r w:rsidRPr="00DF0FB5">
        <w:rPr>
          <w:sz w:val="18"/>
          <w:szCs w:val="18"/>
        </w:rPr>
        <w:fldChar w:fldCharType="end"/>
      </w:r>
      <w:r w:rsidRPr="00DF0FB5">
        <w:rPr>
          <w:sz w:val="18"/>
          <w:szCs w:val="18"/>
        </w:rPr>
        <w:t xml:space="preserve"> (arguing that Bitcoin does not fall within the definition of “security” for </w:t>
      </w:r>
      <w:r>
        <w:rPr>
          <w:sz w:val="18"/>
          <w:szCs w:val="18"/>
        </w:rPr>
        <w:t>lack</w:t>
      </w:r>
      <w:r w:rsidRPr="00DF0FB5">
        <w:rPr>
          <w:sz w:val="18"/>
          <w:szCs w:val="18"/>
        </w:rPr>
        <w:t xml:space="preserve"> </w:t>
      </w:r>
      <w:r w:rsidRPr="00DF0FB5">
        <w:rPr>
          <w:sz w:val="18"/>
          <w:szCs w:val="18"/>
        </w:rPr>
        <w:t>of an “issuer”).</w:t>
      </w:r>
    </w:p>
  </w:footnote>
  <w:footnote w:id="14">
    <w:p w14:paraId="25A45484" w14:textId="77777777" w:rsidR="00632D3D" w:rsidRPr="00DF0FB5" w:rsidRDefault="00280497" w:rsidP="003166C3">
      <w:pPr>
        <w:pStyle w:val="FootnoteText"/>
        <w:jc w:val="both"/>
        <w:rPr>
          <w:sz w:val="18"/>
          <w:szCs w:val="18"/>
        </w:rPr>
      </w:pPr>
      <w:r w:rsidRPr="00DF0FB5">
        <w:rPr>
          <w:rStyle w:val="FootnoteReference"/>
          <w:sz w:val="18"/>
          <w:szCs w:val="18"/>
        </w:rPr>
        <w:footnoteRef/>
      </w:r>
      <w:r w:rsidR="00437DBA">
        <w:rPr>
          <w:sz w:val="18"/>
          <w:szCs w:val="18"/>
        </w:rPr>
        <w:t xml:space="preserve"> U.C.C. § </w:t>
      </w:r>
      <w:r w:rsidRPr="00DF0FB5">
        <w:rPr>
          <w:sz w:val="18"/>
          <w:szCs w:val="18"/>
        </w:rPr>
        <w:t>9-313(a) (2010).</w:t>
      </w:r>
    </w:p>
  </w:footnote>
  <w:footnote w:id="15">
    <w:p w14:paraId="2C4B13F6" w14:textId="77777777" w:rsidR="00837545" w:rsidRPr="00DF0FB5" w:rsidRDefault="00280497" w:rsidP="003166C3">
      <w:pPr>
        <w:pStyle w:val="FootnoteText"/>
        <w:jc w:val="both"/>
        <w:rPr>
          <w:sz w:val="18"/>
          <w:szCs w:val="18"/>
        </w:rPr>
      </w:pPr>
      <w:r w:rsidRPr="00DF0FB5">
        <w:rPr>
          <w:rStyle w:val="FootnoteReference"/>
          <w:sz w:val="18"/>
          <w:szCs w:val="18"/>
        </w:rPr>
        <w:footnoteRef/>
      </w:r>
      <w:r w:rsidRPr="00DF0FB5">
        <w:rPr>
          <w:sz w:val="18"/>
          <w:szCs w:val="18"/>
        </w:rPr>
        <w:t xml:space="preserve"> “Securities intermediary” is defined as a “clearing corporation” or a third</w:t>
      </w:r>
      <w:r w:rsidR="00437DBA">
        <w:rPr>
          <w:sz w:val="18"/>
          <w:szCs w:val="18"/>
        </w:rPr>
        <w:t xml:space="preserve"> </w:t>
      </w:r>
      <w:r w:rsidRPr="00DF0FB5">
        <w:rPr>
          <w:sz w:val="18"/>
          <w:szCs w:val="18"/>
        </w:rPr>
        <w:t>party that “in the ordinary course of its business maintains securities accounts for others and is acting in that capacity</w:t>
      </w:r>
      <w:r w:rsidR="00437DBA">
        <w:rPr>
          <w:sz w:val="18"/>
          <w:szCs w:val="18"/>
        </w:rPr>
        <w:t xml:space="preserve">.” </w:t>
      </w:r>
      <w:r w:rsidRPr="00DF0FB5">
        <w:rPr>
          <w:sz w:val="18"/>
          <w:szCs w:val="18"/>
        </w:rPr>
        <w:t>U.C.C. §</w:t>
      </w:r>
      <w:r w:rsidR="00437DBA">
        <w:rPr>
          <w:sz w:val="18"/>
          <w:szCs w:val="18"/>
        </w:rPr>
        <w:t> </w:t>
      </w:r>
      <w:r w:rsidRPr="00DF0FB5">
        <w:rPr>
          <w:sz w:val="18"/>
          <w:szCs w:val="18"/>
        </w:rPr>
        <w:t>8-102(a</w:t>
      </w:r>
      <w:proofErr w:type="gramStart"/>
      <w:r w:rsidRPr="00DF0FB5">
        <w:rPr>
          <w:sz w:val="18"/>
          <w:szCs w:val="18"/>
        </w:rPr>
        <w:t>)(</w:t>
      </w:r>
      <w:proofErr w:type="gramEnd"/>
      <w:r w:rsidRPr="00DF0FB5">
        <w:rPr>
          <w:sz w:val="18"/>
          <w:szCs w:val="18"/>
        </w:rPr>
        <w:t>14) (20</w:t>
      </w:r>
      <w:r w:rsidRPr="00DF0FB5">
        <w:rPr>
          <w:sz w:val="18"/>
          <w:szCs w:val="18"/>
        </w:rPr>
        <w:t>10).</w:t>
      </w:r>
    </w:p>
  </w:footnote>
  <w:footnote w:id="16">
    <w:p w14:paraId="57498D32" w14:textId="77777777" w:rsidR="00837545" w:rsidRPr="00DF0FB5" w:rsidRDefault="00280497" w:rsidP="003166C3">
      <w:pPr>
        <w:pStyle w:val="FootnoteText"/>
        <w:jc w:val="both"/>
        <w:rPr>
          <w:sz w:val="18"/>
          <w:szCs w:val="18"/>
        </w:rPr>
      </w:pPr>
      <w:r w:rsidRPr="00DF0FB5">
        <w:rPr>
          <w:rStyle w:val="FootnoteReference"/>
          <w:sz w:val="18"/>
          <w:szCs w:val="18"/>
        </w:rPr>
        <w:footnoteRef/>
      </w:r>
      <w:r w:rsidRPr="00DF0FB5">
        <w:rPr>
          <w:sz w:val="18"/>
          <w:szCs w:val="18"/>
        </w:rPr>
        <w:t xml:space="preserve"> </w:t>
      </w:r>
      <w:r w:rsidRPr="00DF0FB5">
        <w:rPr>
          <w:sz w:val="18"/>
          <w:szCs w:val="18"/>
        </w:rPr>
        <w:t>U.C.C. §</w:t>
      </w:r>
      <w:r w:rsidR="00437DBA">
        <w:rPr>
          <w:sz w:val="18"/>
          <w:szCs w:val="18"/>
        </w:rPr>
        <w:t> </w:t>
      </w:r>
      <w:r w:rsidRPr="00DF0FB5">
        <w:rPr>
          <w:sz w:val="18"/>
          <w:szCs w:val="18"/>
        </w:rPr>
        <w:t>8-301(a) (2010).</w:t>
      </w:r>
    </w:p>
  </w:footnote>
  <w:footnote w:id="17">
    <w:p w14:paraId="3BBAA649" w14:textId="77777777" w:rsidR="007E0609" w:rsidRPr="00F71AE3" w:rsidRDefault="00280497" w:rsidP="003166C3">
      <w:pPr>
        <w:pStyle w:val="FootnoteText"/>
        <w:jc w:val="both"/>
        <w:rPr>
          <w:sz w:val="24"/>
          <w:szCs w:val="24"/>
        </w:rPr>
      </w:pPr>
      <w:r w:rsidRPr="00DF0FB5">
        <w:rPr>
          <w:rStyle w:val="FootnoteReference"/>
          <w:sz w:val="18"/>
          <w:szCs w:val="18"/>
        </w:rPr>
        <w:footnoteRef/>
      </w:r>
      <w:r w:rsidRPr="00DF0FB5">
        <w:rPr>
          <w:sz w:val="18"/>
          <w:szCs w:val="18"/>
        </w:rPr>
        <w:t xml:space="preserve"> U.C.C. §</w:t>
      </w:r>
      <w:r w:rsidR="00437DBA">
        <w:rPr>
          <w:sz w:val="18"/>
          <w:szCs w:val="18"/>
        </w:rPr>
        <w:t> </w:t>
      </w:r>
      <w:r w:rsidRPr="00DF0FB5">
        <w:rPr>
          <w:sz w:val="18"/>
          <w:szCs w:val="18"/>
        </w:rPr>
        <w:t>9-314(a) (2010).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7ECD2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ABEC5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D6A29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C22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E3EE3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7623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C654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BCA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963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1C47C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DBA"/>
    <w:rsid w:val="00280497"/>
    <w:rsid w:val="0043786C"/>
    <w:rsid w:val="00437DBA"/>
    <w:rsid w:val="00BC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74690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655"/>
    <w:pPr>
      <w:spacing w:after="0"/>
    </w:pPr>
    <w:rPr>
      <w:rFonts w:cs="Times New Roman"/>
    </w:rPr>
  </w:style>
  <w:style w:type="paragraph" w:styleId="Heading1">
    <w:name w:val="heading 1"/>
    <w:basedOn w:val="Normal"/>
    <w:next w:val="SSBodyText"/>
    <w:link w:val="Heading1Char"/>
    <w:uiPriority w:val="9"/>
    <w:rsid w:val="00F83310"/>
    <w:pPr>
      <w:keepNext/>
      <w:keepLines/>
      <w:spacing w:after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SSBodyText"/>
    <w:link w:val="Heading2Char"/>
    <w:uiPriority w:val="9"/>
    <w:rsid w:val="00F83310"/>
    <w:pPr>
      <w:keepNext/>
      <w:keepLines/>
      <w:spacing w:after="240"/>
      <w:ind w:left="72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SSBodyText"/>
    <w:link w:val="Heading3Char"/>
    <w:uiPriority w:val="9"/>
    <w:rsid w:val="00F83310"/>
    <w:pPr>
      <w:keepNext/>
      <w:keepLines/>
      <w:spacing w:after="240"/>
      <w:ind w:left="144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SSBodyText"/>
    <w:link w:val="Heading4Char"/>
    <w:uiPriority w:val="9"/>
    <w:rsid w:val="00F83310"/>
    <w:pPr>
      <w:keepNext/>
      <w:keepLines/>
      <w:spacing w:after="240"/>
      <w:ind w:left="216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SSBodyText"/>
    <w:link w:val="Heading5Char"/>
    <w:uiPriority w:val="9"/>
    <w:semiHidden/>
    <w:unhideWhenUsed/>
    <w:rsid w:val="00F83310"/>
    <w:pPr>
      <w:keepNext/>
      <w:keepLines/>
      <w:spacing w:after="240"/>
      <w:ind w:left="28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SSBodyText"/>
    <w:link w:val="Heading6Char"/>
    <w:uiPriority w:val="9"/>
    <w:semiHidden/>
    <w:unhideWhenUsed/>
    <w:rsid w:val="00F83310"/>
    <w:pPr>
      <w:keepNext/>
      <w:keepLines/>
      <w:spacing w:after="240"/>
      <w:ind w:left="360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SSBodyText"/>
    <w:link w:val="Heading7Char"/>
    <w:uiPriority w:val="9"/>
    <w:semiHidden/>
    <w:unhideWhenUsed/>
    <w:rsid w:val="00F83310"/>
    <w:pPr>
      <w:keepNext/>
      <w:keepLines/>
      <w:spacing w:after="240"/>
      <w:ind w:left="432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SSBodyText"/>
    <w:link w:val="Heading8Char"/>
    <w:uiPriority w:val="9"/>
    <w:unhideWhenUsed/>
    <w:rsid w:val="00F83310"/>
    <w:pPr>
      <w:keepNext/>
      <w:keepLines/>
      <w:spacing w:after="240"/>
      <w:ind w:left="5040"/>
      <w:outlineLvl w:val="7"/>
    </w:pPr>
    <w:rPr>
      <w:rFonts w:eastAsiaTheme="majorEastAsia" w:cstheme="majorBidi"/>
      <w:szCs w:val="21"/>
    </w:rPr>
  </w:style>
  <w:style w:type="paragraph" w:styleId="Heading9">
    <w:name w:val="heading 9"/>
    <w:basedOn w:val="Normal"/>
    <w:next w:val="SSBodyText"/>
    <w:link w:val="Heading9Char"/>
    <w:uiPriority w:val="9"/>
    <w:semiHidden/>
    <w:unhideWhenUsed/>
    <w:rsid w:val="00F83310"/>
    <w:pPr>
      <w:keepNext/>
      <w:keepLines/>
      <w:spacing w:after="240"/>
      <w:ind w:left="5760"/>
      <w:outlineLvl w:val="8"/>
    </w:pPr>
    <w:rPr>
      <w:rFonts w:eastAsiaTheme="majorEastAsia" w:cstheme="majorBidi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SBodyText">
    <w:name w:val="SS Body Text"/>
    <w:basedOn w:val="Normal"/>
    <w:qFormat/>
    <w:rsid w:val="00AD3878"/>
    <w:pPr>
      <w:ind w:firstLine="720"/>
    </w:pPr>
  </w:style>
  <w:style w:type="paragraph" w:customStyle="1" w:styleId="DBBodyText">
    <w:name w:val="DB Body Text"/>
    <w:basedOn w:val="Normal"/>
    <w:uiPriority w:val="2"/>
    <w:qFormat/>
    <w:rsid w:val="00AD3878"/>
    <w:pPr>
      <w:spacing w:line="480" w:lineRule="auto"/>
      <w:ind w:firstLine="720"/>
    </w:pPr>
  </w:style>
  <w:style w:type="paragraph" w:customStyle="1" w:styleId="SSJBodyText">
    <w:name w:val="SSJ Body Text"/>
    <w:basedOn w:val="Normal"/>
    <w:qFormat/>
    <w:rsid w:val="00AD3878"/>
    <w:pPr>
      <w:ind w:firstLine="720"/>
      <w:jc w:val="both"/>
    </w:pPr>
  </w:style>
  <w:style w:type="paragraph" w:customStyle="1" w:styleId="DBJBodyText">
    <w:name w:val="DBJ Body Text"/>
    <w:basedOn w:val="Normal"/>
    <w:uiPriority w:val="2"/>
    <w:qFormat/>
    <w:rsid w:val="00AD3878"/>
    <w:pPr>
      <w:spacing w:line="480" w:lineRule="auto"/>
      <w:ind w:firstLine="720"/>
      <w:jc w:val="both"/>
    </w:pPr>
  </w:style>
  <w:style w:type="paragraph" w:styleId="Quote">
    <w:name w:val="Quote"/>
    <w:basedOn w:val="Normal"/>
    <w:next w:val="BodyTextContinued"/>
    <w:link w:val="QuoteChar"/>
    <w:qFormat/>
    <w:rsid w:val="00575655"/>
    <w:pPr>
      <w:spacing w:after="240"/>
      <w:ind w:left="1440" w:right="1440"/>
    </w:pPr>
    <w:rPr>
      <w:szCs w:val="20"/>
    </w:rPr>
  </w:style>
  <w:style w:type="character" w:customStyle="1" w:styleId="QuoteChar">
    <w:name w:val="Quote Char"/>
    <w:basedOn w:val="DefaultParagraphFont"/>
    <w:link w:val="Quote"/>
    <w:rsid w:val="0000278E"/>
    <w:rPr>
      <w:rFonts w:cs="Times New Roman"/>
      <w:szCs w:val="20"/>
    </w:rPr>
  </w:style>
  <w:style w:type="paragraph" w:styleId="Title">
    <w:name w:val="Title"/>
    <w:basedOn w:val="Normal"/>
    <w:next w:val="SSBodyText"/>
    <w:link w:val="TitleChar"/>
    <w:uiPriority w:val="4"/>
    <w:qFormat/>
    <w:rsid w:val="008B712D"/>
    <w:pPr>
      <w:outlineLvl w:val="0"/>
    </w:pPr>
    <w:rPr>
      <w:rFonts w:eastAsiaTheme="majorEastAsia" w:cstheme="majorBidi"/>
      <w:szCs w:val="56"/>
    </w:rPr>
  </w:style>
  <w:style w:type="character" w:customStyle="1" w:styleId="TitleChar">
    <w:name w:val="Title Char"/>
    <w:basedOn w:val="DefaultParagraphFont"/>
    <w:link w:val="Title"/>
    <w:uiPriority w:val="4"/>
    <w:rsid w:val="008B712D"/>
    <w:rPr>
      <w:rFonts w:ascii="Times New Roman" w:eastAsiaTheme="majorEastAsia" w:hAnsi="Times New Roman" w:cstheme="majorBidi"/>
      <w:sz w:val="24"/>
      <w:szCs w:val="56"/>
    </w:rPr>
  </w:style>
  <w:style w:type="paragraph" w:customStyle="1" w:styleId="TitleBold">
    <w:name w:val="Title Bold"/>
    <w:basedOn w:val="Normal"/>
    <w:next w:val="SSBodyText"/>
    <w:uiPriority w:val="4"/>
    <w:qFormat/>
    <w:rsid w:val="006F78A2"/>
    <w:pPr>
      <w:outlineLvl w:val="0"/>
    </w:pPr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F83310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3310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3310"/>
    <w:rPr>
      <w:rFonts w:eastAsiaTheme="majorEastAsia" w:cstheme="majorBidi"/>
    </w:rPr>
  </w:style>
  <w:style w:type="character" w:customStyle="1" w:styleId="Heading4Char">
    <w:name w:val="Heading 4 Char"/>
    <w:basedOn w:val="DefaultParagraphFont"/>
    <w:link w:val="Heading4"/>
    <w:uiPriority w:val="9"/>
    <w:rsid w:val="00F83310"/>
    <w:rPr>
      <w:rFonts w:eastAsiaTheme="majorEastAsia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310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310"/>
    <w:rPr>
      <w:rFonts w:eastAsiaTheme="majorEastAsia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310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F83310"/>
    <w:rPr>
      <w:rFonts w:eastAsiaTheme="majorEastAsia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310"/>
    <w:rPr>
      <w:rFonts w:eastAsiaTheme="majorEastAsia" w:cstheme="majorBidi"/>
      <w:iCs/>
      <w:szCs w:val="21"/>
    </w:rPr>
  </w:style>
  <w:style w:type="paragraph" w:styleId="Header">
    <w:name w:val="header"/>
    <w:basedOn w:val="Normal"/>
    <w:link w:val="HeaderChar"/>
    <w:rsid w:val="005756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278E"/>
    <w:rPr>
      <w:rFonts w:cs="Times New Roman"/>
    </w:rPr>
  </w:style>
  <w:style w:type="paragraph" w:styleId="Footer">
    <w:name w:val="footer"/>
    <w:basedOn w:val="Normal"/>
    <w:link w:val="FooterChar"/>
    <w:rsid w:val="005756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0278E"/>
    <w:rPr>
      <w:rFonts w:cs="Times New Roman"/>
    </w:rPr>
  </w:style>
  <w:style w:type="character" w:styleId="PageNumber">
    <w:name w:val="page number"/>
    <w:basedOn w:val="DefaultParagraphFont"/>
    <w:rsid w:val="00575655"/>
  </w:style>
  <w:style w:type="paragraph" w:customStyle="1" w:styleId="SigBlock">
    <w:name w:val="Sig Block"/>
    <w:basedOn w:val="Normal"/>
    <w:uiPriority w:val="4"/>
    <w:rsid w:val="00F83310"/>
    <w:pPr>
      <w:spacing w:after="240"/>
      <w:ind w:left="4680"/>
      <w:contextualSpacing/>
    </w:pPr>
  </w:style>
  <w:style w:type="paragraph" w:customStyle="1" w:styleId="SigBlockUnderline">
    <w:name w:val="Sig Block Underline"/>
    <w:basedOn w:val="Normal"/>
    <w:next w:val="SigBlock"/>
    <w:uiPriority w:val="4"/>
    <w:rsid w:val="00F83310"/>
    <w:pPr>
      <w:tabs>
        <w:tab w:val="right" w:pos="9360"/>
      </w:tabs>
      <w:ind w:left="4680"/>
    </w:pPr>
    <w:rPr>
      <w:u w:val="single"/>
    </w:rPr>
  </w:style>
  <w:style w:type="paragraph" w:styleId="BodyText">
    <w:name w:val="Body Text"/>
    <w:basedOn w:val="Normal"/>
    <w:link w:val="BodyTextChar"/>
    <w:rsid w:val="00575655"/>
    <w:pPr>
      <w:widowControl w:val="0"/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BE063E"/>
    <w:rPr>
      <w:rFonts w:cs="Times New Roman"/>
    </w:rPr>
  </w:style>
  <w:style w:type="paragraph" w:customStyle="1" w:styleId="BodyTextContinued">
    <w:name w:val="Body Text Continued"/>
    <w:basedOn w:val="BodyText"/>
    <w:next w:val="BodyText"/>
    <w:rsid w:val="00575655"/>
    <w:pPr>
      <w:ind w:firstLine="0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31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31F4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31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231F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31F4"/>
    <w:rPr>
      <w:color w:val="808080"/>
      <w:shd w:val="clear" w:color="auto" w:fill="E6E6E6"/>
    </w:rPr>
  </w:style>
  <w:style w:type="character" w:customStyle="1" w:styleId="zzmpTrailerItem">
    <w:name w:val="zzmpTrailerItem"/>
    <w:basedOn w:val="DefaultParagraphFont"/>
    <w:rsid w:val="00A5245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styleId="CommentReference">
    <w:name w:val="annotation reference"/>
    <w:basedOn w:val="DefaultParagraphFont"/>
    <w:uiPriority w:val="99"/>
    <w:semiHidden/>
    <w:unhideWhenUsed/>
    <w:rsid w:val="00876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A9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A9F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A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A9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5D63"/>
    <w:rPr>
      <w:color w:val="954F72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7DBA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7DB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aw360.com/articles/1105406/sec-hasn-t-shown-crypto-tokens-are-securities-judge-s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6E4DB-8DBF-FC46-8833-F78D9AFFE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931</Words>
  <Characters>5313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2019-01-07T22:14:00Z</dcterms:created>
  <dcterms:modified xsi:type="dcterms:W3CDTF">2019-01-07T22:27:00Z</dcterms:modified>
</cp:coreProperties>
</file>